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 w:after="40"/>
      </w:pPr>
    </w:p>
    <w:p>
      <w:pPr>
        <w:spacing w:before="0" w:after="40"/>
        <w:jc w:val="right"/>
      </w:pPr>
      <w:r>
        <w:rPr>
          <w:rFonts w:ascii="Arial" w:cs="Arial" w:eastAsia="Arial" w:hAnsi="Arial"/>
          <w:b/>
          <w:bCs/>
          <w:color w:val="CC0000"/>
          <w:sz w:val="16"/>
          <w:szCs w:val="16"/>
        </w:rPr>
        <w:t xml:space="preserve">CONFIDENTIAL — WHISTLEBLOWER SUBMISSION</w:t>
      </w:r>
    </w:p>
    <w:p>
      <w:pPr>
        <w:spacing w:before="0" w:after="60"/>
        <w:jc w:val="right"/>
      </w:pPr>
      <w:r>
        <w:rPr>
          <w:rFonts w:ascii="Arial" w:cs="Arial" w:eastAsia="Arial" w:hAnsi="Arial"/>
          <w:color w:val="555555"/>
          <w:sz w:val="16"/>
          <w:szCs w:val="16"/>
        </w:rPr>
        <w:t xml:space="preserve">Protected Under 15 U.S.C. § 78u-6</w:t>
      </w:r>
    </w:p>
    <w:p>
      <w:pPr>
        <w:spacing w:before="80" w:after="80"/>
      </w:pPr>
      <w:r>
        <w:rPr>
          <w:rFonts w:ascii="Arial" w:cs="Arial" w:eastAsia="Arial" w:hAnsi="Arial"/>
          <w:sz w:val="20"/>
          <w:szCs w:val="20"/>
        </w:rPr>
        <w:t xml:space="preserve">Albert Lane</w:t>
      </w:r>
    </w:p>
    <w:p>
      <w:pPr>
        <w:spacing w:before="80" w:after="80"/>
      </w:pPr>
      <w:r>
        <w:rPr>
          <w:rFonts w:ascii="Arial" w:cs="Arial" w:eastAsia="Arial" w:hAnsi="Arial"/>
          <w:sz w:val="20"/>
          <w:szCs w:val="20"/>
        </w:rPr>
        <w:t xml:space="preserve">Portland Metro Area, Oregon</w:t>
      </w:r>
    </w:p>
    <w:p>
      <w:pPr>
        <w:spacing w:before="80" w:after="80"/>
      </w:pPr>
      <w:r>
        <w:rPr>
          <w:rFonts w:ascii="Arial" w:cs="Arial" w:eastAsia="Arial" w:hAnsi="Arial"/>
          <w:sz w:val="20"/>
          <w:szCs w:val="20"/>
        </w:rPr>
        <w:t xml:space="preserve">lane.albert.device@gmail.com</w:t>
      </w:r>
    </w:p>
    <w:p>
      <w:pPr>
        <w:spacing w:before="80" w:after="80"/>
      </w:pPr>
      <w:r>
        <w:rPr>
          <w:rFonts w:ascii="Arial" w:cs="Arial" w:eastAsia="Arial" w:hAnsi="Arial"/>
          <w:sz w:val="20"/>
          <w:szCs w:val="20"/>
        </w:rPr>
        <w:t xml:space="preserve">(458) 203-9279</w:t>
      </w:r>
    </w:p>
    <w:p>
      <w:pPr>
        <w:spacing w:before="80" w:after="80"/>
      </w:pPr>
      <w:r>
        <w:rPr>
          <w:rFonts w:ascii="Arial" w:cs="Arial" w:eastAsia="Arial" w:hAnsi="Arial"/>
          <w:sz w:val="20"/>
          <w:szCs w:val="20"/>
        </w:rPr>
        <w:t xml:space="preserve"/>
      </w:r>
    </w:p>
    <w:p>
      <w:pPr>
        <w:spacing w:before="80" w:after="80"/>
      </w:pPr>
      <w:r>
        <w:rPr>
          <w:rFonts w:ascii="Arial" w:cs="Arial" w:eastAsia="Arial" w:hAnsi="Arial"/>
          <w:sz w:val="20"/>
          <w:szCs w:val="20"/>
        </w:rPr>
        <w:t xml:space="preserve">March 16, 2026</w:t>
      </w:r>
    </w:p>
    <w:p>
      <w:pPr>
        <w:spacing w:before="60" w:after="60"/>
      </w:pPr>
    </w:p>
    <w:p>
      <w:pPr>
        <w:spacing w:before="80" w:after="80"/>
      </w:pPr>
      <w:r>
        <w:rPr>
          <w:rFonts w:ascii="Arial" w:cs="Arial" w:eastAsia="Arial" w:hAnsi="Arial"/>
          <w:sz w:val="20"/>
          <w:szCs w:val="20"/>
        </w:rPr>
        <w:t xml:space="preserve">VIA SEC SECURE WEB PORTAL</w:t>
      </w:r>
    </w:p>
    <w:p>
      <w:pPr>
        <w:spacing w:before="80" w:after="80"/>
      </w:pPr>
      <w:r>
        <w:rPr>
          <w:rFonts w:ascii="Arial" w:cs="Arial" w:eastAsia="Arial" w:hAnsi="Arial"/>
          <w:sz w:val="20"/>
          <w:szCs w:val="20"/>
        </w:rPr>
        <w:t xml:space="preserve">U.S. Securities and Exchange Commission</w:t>
      </w:r>
    </w:p>
    <w:p>
      <w:pPr>
        <w:spacing w:before="80" w:after="80"/>
      </w:pPr>
      <w:r>
        <w:rPr>
          <w:rFonts w:ascii="Arial" w:cs="Arial" w:eastAsia="Arial" w:hAnsi="Arial"/>
          <w:sz w:val="20"/>
          <w:szCs w:val="20"/>
        </w:rPr>
        <w:t xml:space="preserve">Office of the Whistleblower</w:t>
      </w:r>
    </w:p>
    <w:p>
      <w:pPr>
        <w:spacing w:before="80" w:after="80"/>
      </w:pPr>
      <w:r>
        <w:rPr>
          <w:rFonts w:ascii="Arial" w:cs="Arial" w:eastAsia="Arial" w:hAnsi="Arial"/>
          <w:sz w:val="20"/>
          <w:szCs w:val="20"/>
        </w:rPr>
        <w:t xml:space="preserve">100 F Street NE</w:t>
      </w:r>
    </w:p>
    <w:p>
      <w:pPr>
        <w:spacing w:before="80" w:after="80"/>
      </w:pPr>
      <w:r>
        <w:rPr>
          <w:rFonts w:ascii="Arial" w:cs="Arial" w:eastAsia="Arial" w:hAnsi="Arial"/>
          <w:sz w:val="20"/>
          <w:szCs w:val="20"/>
        </w:rPr>
        <w:t xml:space="preserve">Washington, DC 20549</w:t>
      </w:r>
    </w:p>
    <w:p>
      <w:pPr>
        <w:spacing w:before="60" w:after="60"/>
      </w:pPr>
    </w:p>
    <w:p>
      <w:pPr>
        <w:pBdr>
          <w:bottom w:val="single" w:color="1F3864" w:sz="3" w:space="4"/>
        </w:pBdr>
        <w:spacing w:before="60" w:after="20"/>
      </w:pPr>
      <w:r>
        <w:rPr>
          <w:rFonts w:ascii="Arial" w:cs="Arial" w:eastAsia="Arial" w:hAnsi="Arial"/>
          <w:b/>
          <w:bCs/>
          <w:color w:val="1F3864"/>
          <w:sz w:val="24"/>
          <w:szCs w:val="24"/>
        </w:rPr>
        <w:t xml:space="preserve">RE: Supplemental Exhibit to SEC Form WB-APP</w:t>
      </w:r>
    </w:p>
    <w:p>
      <w:pPr>
        <w:spacing w:before="80" w:after="80"/>
      </w:pPr>
      <w:r>
        <w:rPr>
          <w:rFonts w:ascii="Arial" w:cs="Arial" w:eastAsia="Arial" w:hAnsi="Arial"/>
          <w:b/>
          <w:bCs/>
          <w:sz w:val="20"/>
          <w:szCs w:val="20"/>
        </w:rPr>
        <w:t xml:space="preserve">Submission Number: 17684-273-411-436</w:t>
      </w:r>
    </w:p>
    <w:p>
      <w:pPr>
        <w:spacing w:before="80" w:after="80"/>
      </w:pPr>
      <w:r>
        <w:rPr>
          <w:rFonts w:ascii="Arial" w:cs="Arial" w:eastAsia="Arial" w:hAnsi="Arial"/>
          <w:sz w:val="20"/>
          <w:szCs w:val="20"/>
        </w:rPr>
        <w:t xml:space="preserve">Initial Filing Date: January 14, 2026</w:t>
      </w:r>
    </w:p>
    <w:p>
      <w:pPr>
        <w:spacing w:before="80" w:after="80"/>
      </w:pPr>
      <w:r>
        <w:rPr>
          <w:rFonts w:ascii="Arial" w:cs="Arial" w:eastAsia="Arial" w:hAnsi="Arial"/>
          <w:sz w:val="20"/>
          <w:szCs w:val="20"/>
        </w:rPr>
        <w:t xml:space="preserve">This Submission Date: March 16, 2026</w:t>
      </w:r>
    </w:p>
    <w:p>
      <w:pPr>
        <w:spacing w:before="80" w:after="80"/>
      </w:pPr>
      <w:r>
        <w:rPr>
          <w:rFonts w:ascii="Arial" w:cs="Arial" w:eastAsia="Arial" w:hAnsi="Arial"/>
          <w:b/>
          <w:bCs/>
          <w:color w:val="1F3864"/>
          <w:sz w:val="20"/>
          <w:szCs w:val="20"/>
        </w:rPr>
        <w:t xml:space="preserve">Subject Entities: Alphabet Inc. (GOOGL) / All Service Moving / Successor Network / Turing.com / Ultra Verba Lux Mentis (UVLM)</w:t>
      </w:r>
    </w:p>
    <w:p>
      <w:pPr>
        <w:spacing w:before="60" w:after="60"/>
      </w:pPr>
    </w:p>
    <w:p>
      <w:pPr>
        <w:pBdr>
          <w:top w:val="single" w:color="CCCCCC" w:sz="2" w:space="4"/>
          <w:bottom w:val="single" w:color="CCCCCC" w:sz="2" w:space="4"/>
        </w:pBdr>
        <w:spacing w:before="60" w:after="60"/>
      </w:pPr>
      <w:r>
        <w:rPr>
          <w:rFonts w:ascii="Arial" w:cs="Arial" w:eastAsia="Arial" w:hAnsi="Arial"/>
          <w:i/>
          <w:iCs/>
          <w:color w:val="555555"/>
          <w:sz w:val="18"/>
          <w:szCs w:val="18"/>
        </w:rPr>
        <w:t xml:space="preserve">This document constitutes the combined Supplemental Exhibit to the above-referenced Form WB-APP, originally filed January 14, 2026. It incorporates and supersedes the March 2, 2026 supplemental letter and adds forensic documentation developed through March 16, 2026, including full analysis of the Turing.com AGI Advance Newsletter series, the Ultra Verba Lux Mentis (UVLM) backdating operation, and Google platform architecture findings. All findings are independently verifiable via cited public sources. This filing is protected under Section 21F of the Securities Exchange Act of 1934.</w:t>
      </w:r>
    </w:p>
    <w:p>
      <w:r>
        <w:br w:type="page"/>
      </w:r>
    </w:p>
    <w:p>
      <w:pPr>
        <w:pStyle w:val="Heading1"/>
        <w:pBdr>
          <w:bottom w:val="single" w:color="1F3864" w:sz="4" w:space="4"/>
        </w:pBdr>
        <w:spacing w:before="360" w:after="180"/>
      </w:pPr>
      <w:r>
        <w:rPr>
          <w:rFonts w:ascii="Arial" w:cs="Arial" w:eastAsia="Arial" w:hAnsi="Arial"/>
          <w:b/>
          <w:bCs/>
          <w:color w:val="1F3864"/>
          <w:sz w:val="32"/>
          <w:szCs w:val="32"/>
        </w:rPr>
        <w:t xml:space="preserve">1. EXECUTIVE SUMMARY</w:t>
      </w:r>
    </w:p>
    <w:p>
      <w:pPr>
        <w:spacing w:before="80" w:after="80"/>
      </w:pPr>
      <w:r>
        <w:rPr>
          <w:rFonts w:ascii="Arial" w:cs="Arial" w:eastAsia="Arial" w:hAnsi="Arial"/>
          <w:sz w:val="20"/>
          <w:szCs w:val="20"/>
        </w:rPr>
        <w:t xml:space="preserve">This supplemental exhibit documents an interconnected set of forensic findings arising from the investigator's direct operational experience at All Service Moving (ASM) and related entities, the investigation of Google's platform infrastructure, and the subsequent documentation of active efforts to suppress and predate the investigator's findings. The investigator filed SEC Form WB-APP (Submission #17684-273-411-436) on January 14, 2026, predating all third-party content cited herein.</w:t>
      </w:r>
    </w:p>
    <w:p>
      <w:pPr>
        <w:spacing w:before="40" w:after="40"/>
      </w:pPr>
    </w:p>
    <w:p>
      <w:pPr>
        <w:pStyle w:val="ListParagraph"/>
        <w:numPr>
          <w:ilvl w:val="0"/>
          <w:numId w:val="2"/>
        </w:numPr>
        <w:spacing w:before="60" w:after="60"/>
      </w:pPr>
      <w:r>
        <w:rPr>
          <w:rFonts w:ascii="Arial" w:cs="Arial" w:eastAsia="Arial" w:hAnsi="Arial"/>
          <w:sz w:val="20"/>
          <w:szCs w:val="20"/>
        </w:rPr>
        <w:t xml:space="preserve">Google's review platform has functionally replaced the Oregon Secretary of State as the arbiter of business legitimacy — enabling fraudulent entities to dissolve legally while surviving digitally, and to transfer accumulated reputation capital to successor shells via the Phantom Port API mechanism.</w:t>
      </w:r>
    </w:p>
    <w:p>
      <w:pPr>
        <w:pStyle w:val="ListParagraph"/>
        <w:numPr>
          <w:ilvl w:val="0"/>
          <w:numId w:val="2"/>
        </w:numPr>
        <w:spacing w:before="60" w:after="60"/>
      </w:pPr>
      <w:r>
        <w:rPr>
          <w:rFonts w:ascii="Arial" w:cs="Arial" w:eastAsia="Arial" w:hAnsi="Arial"/>
          <w:color w:val="CC0000"/>
          <w:sz w:val="20"/>
          <w:szCs w:val="20"/>
        </w:rPr>
        <w:t xml:space="preserve">Google's advertising infrastructure enables keyword hijacking — competitors purchase brand keywords of defunct fraudulent operators, monetizing legacy consumer reach after entity dissolution. Google collects Revenue Toll from both the fraud and its aftermath.</w:t>
      </w:r>
    </w:p>
    <w:p>
      <w:pPr>
        <w:pStyle w:val="ListParagraph"/>
        <w:numPr>
          <w:ilvl w:val="0"/>
          <w:numId w:val="2"/>
        </w:numPr>
        <w:spacing w:before="60" w:after="60"/>
      </w:pPr>
      <w:r>
        <w:rPr>
          <w:rFonts w:ascii="Arial" w:cs="Arial" w:eastAsia="Arial" w:hAnsi="Arial"/>
          <w:color w:val="CC0000"/>
          <w:sz w:val="20"/>
          <w:szCs w:val="20"/>
        </w:rPr>
        <w:t xml:space="preserve">Turing.com's AGI Advance Newsletter 19 (listed July 2025) has zero organic search index presence and was first accessed by the investigator in December 2025 via a paid Google Ad — confirmed by GA4 conversion tracking parameters embedded in the URL. Its content references fraud detection from public data models, directly overlapping the investigator's SEC filing subject matter.</w:t>
      </w:r>
    </w:p>
    <w:p>
      <w:pPr>
        <w:pStyle w:val="ListParagraph"/>
        <w:numPr>
          <w:ilvl w:val="0"/>
          <w:numId w:val="2"/>
        </w:numPr>
        <w:spacing w:before="60" w:after="60"/>
      </w:pPr>
      <w:r>
        <w:rPr>
          <w:rFonts w:ascii="Arial" w:cs="Arial" w:eastAsia="Arial" w:hAnsi="Arial"/>
          <w:color w:val="CC0000"/>
          <w:sz w:val="20"/>
          <w:szCs w:val="20"/>
        </w:rPr>
        <w:t xml:space="preserve">Ultra Verba Lux Mentis (UVLM) is conducting a documented SEO injection and IP sniping operation: 11+ articles backdated using ChatGPT image metadata, psychiatric SEO tagging (#GangStalking), AI citation system infiltration, and direct LinkedIn harassment of the investigator in February 2026.</w:t>
      </w:r>
    </w:p>
    <w:p>
      <w:pPr>
        <w:pStyle w:val="ListParagraph"/>
        <w:numPr>
          <w:ilvl w:val="0"/>
          <w:numId w:val="2"/>
        </w:numPr>
        <w:spacing w:before="60" w:after="60"/>
      </w:pPr>
      <w:r>
        <w:rPr>
          <w:rFonts w:ascii="Arial" w:cs="Arial" w:eastAsia="Arial" w:hAnsi="Arial"/>
          <w:sz w:val="20"/>
          <w:szCs w:val="20"/>
        </w:rPr>
        <w:t xml:space="preserve">First Citizens Bank (SVB successor) has offshored its entire operational backbone to Bengaluru, India, while Oregon-facing roles target asset acquisition — positioning for distressed asset absorption during a regional economic contraction.</w:t>
      </w:r>
    </w:p>
    <w:p>
      <w:r>
        <w:br w:type="page"/>
      </w:r>
    </w:p>
    <w:p>
      <w:pPr>
        <w:pStyle w:val="Heading1"/>
        <w:pBdr>
          <w:bottom w:val="single" w:color="1F3864" w:sz="4" w:space="4"/>
        </w:pBdr>
        <w:spacing w:before="360" w:after="180"/>
      </w:pPr>
      <w:r>
        <w:rPr>
          <w:rFonts w:ascii="Arial" w:cs="Arial" w:eastAsia="Arial" w:hAnsi="Arial"/>
          <w:b/>
          <w:bCs/>
          <w:color w:val="1F3864"/>
          <w:sz w:val="32"/>
          <w:szCs w:val="32"/>
        </w:rPr>
        <w:t xml:space="preserve">2. GOOGLE PLATFORM ARCHITECTURE AS FRAUD INFRASTRUCTURE</w:t>
      </w:r>
    </w:p>
    <w:p>
      <w:pPr>
        <w:pStyle w:val="Heading2"/>
        <w:spacing w:before="240" w:after="120"/>
      </w:pPr>
      <w:r>
        <w:rPr>
          <w:rFonts w:ascii="Arial" w:cs="Arial" w:eastAsia="Arial" w:hAnsi="Arial"/>
          <w:b/>
          <w:bCs/>
          <w:color w:val="2E5090"/>
          <w:sz w:val="26"/>
          <w:szCs w:val="26"/>
        </w:rPr>
        <w:t xml:space="preserve">2.1 The Platform as Defacto Secretary of State</w:t>
      </w:r>
    </w:p>
    <w:p>
      <w:pPr>
        <w:spacing w:before="80" w:after="80"/>
      </w:pPr>
      <w:r>
        <w:rPr>
          <w:rFonts w:ascii="Arial" w:cs="Arial" w:eastAsia="Arial" w:hAnsi="Arial"/>
          <w:sz w:val="20"/>
          <w:szCs w:val="20"/>
        </w:rPr>
        <w:t xml:space="preserve">Google's Business Profile creates market existence in minutes with no verification of legal standing, while the Oregon Secretary of State requires days to weeks, identifying information, and public record creation. A company's Google review profile carries more weight in consumer decision-making than its Secretary of State filing. Any fraudulent business can launch nationally — without state registration — at a pace traditional enforcement cannot match.</w:t>
      </w:r>
      <w:r>
        <w:rPr>
          <w:rFonts w:ascii="Arial" w:cs="Arial" w:eastAsia="Arial" w:hAnsi="Arial"/>
          <w:b/>
          <w:bCs/>
          <w:color w:val="2E5090"/>
          <w:sz w:val="17"/>
          <w:szCs w:val="17"/>
          <w:vertAlign w:val="superscript"/>
        </w:rPr>
        <w:t xml:space="preserve"> [REF-1]</w:t>
      </w:r>
    </w:p>
    <w:p>
      <w:pPr>
        <w:spacing w:before="40"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thick" w:color="CC0000" w:sz="8"/>
              <w:bottom w:val="single" w:color="CCCCCC" w:sz="1"/>
              <w:right w:val="single" w:color="CCCCCC" w:sz="1"/>
            </w:tcBorders>
            <w:shd w:fill="FFE8E8" w:val="clear"/>
            <w:tcMar>
              <w:top w:type="dxa" w:w="120"/>
              <w:left w:type="dxa" w:w="180"/>
              <w:bottom w:type="dxa" w:w="120"/>
              <w:right w:type="dxa" w:w="180"/>
            </w:tcMar>
          </w:tcPr>
          <w:p>
            <w:pPr>
              <w:spacing w:before="60" w:after="40"/>
            </w:pPr>
            <w:r>
              <w:rPr>
                <w:rFonts w:ascii="Arial" w:cs="Arial" w:eastAsia="Arial" w:hAnsi="Arial"/>
                <w:b/>
                <w:bCs/>
                <w:color w:val="CC0000"/>
                <w:sz w:val="19"/>
                <w:szCs w:val="19"/>
              </w:rPr>
              <w:t xml:space="preserve">▶ FINDING: Phantom Port — Google Business Profile API</w:t>
            </w:r>
          </w:p>
          <w:p>
            <w:pPr>
              <w:spacing w:before="40" w:after="60"/>
            </w:pPr>
            <w:r>
              <w:rPr>
                <w:rFonts w:ascii="Arial" w:cs="Arial" w:eastAsia="Arial" w:hAnsi="Arial"/>
                <w:sz w:val="19"/>
                <w:szCs w:val="19"/>
              </w:rPr>
              <w:t xml:space="preserve">Shell entities are granted elevated API access to execute automated Place ID merges — transferring digital reputation assets of insolvent, IRS-encumbered legacy entities into clean successor shells while permanently trapping tax liability, creditor claims, and labor violations in the defunct entity. The GTM tracking node </w:t>
            </w:r>
            <w:r>
              <w:rPr>
                <w:rFonts w:ascii="Arial" w:cs="Arial" w:eastAsia="Arial" w:hAnsi="Arial"/>
                <w:b/>
                <w:bCs/>
                <w:sz w:val="19"/>
                <w:szCs w:val="19"/>
              </w:rPr>
              <w:t xml:space="preserve">GTM-5L9N8H</w:t>
            </w:r>
            <w:r>
              <w:rPr>
                <w:rFonts w:ascii="Arial" w:cs="Arial" w:eastAsia="Arial" w:hAnsi="Arial"/>
                <w:sz w:val="19"/>
                <w:szCs w:val="19"/>
              </w:rPr>
              <w:t xml:space="preserve"> appears across nominally independent ASM successor entities, constituting forensic proof of unified operation behind legally distinct corporate identities. Source: </w:t>
            </w:r>
            <w:hyperlink w:history="1" r:id="rIdmhz8ji4hqalgxatkqd4vv">
              <w:r>
                <w:rPr>
                  <w:rFonts w:ascii="Arial" w:cs="Arial" w:eastAsia="Arial" w:hAnsi="Arial"/>
                  <w:color w:val="0563C1"/>
                  <w:sz w:val="19"/>
                  <w:szCs w:val="19"/>
                  <w:u w:val="single"/>
                </w:rPr>
                <w:t xml:space="preserve">SEC Filing #17684-273-411-436, Chapter 2</w:t>
              </w:r>
            </w:hyperlink>
          </w:p>
        </w:tc>
      </w:tr>
    </w:tbl>
    <w:p>
      <w:pPr>
        <w:spacing w:before="40" w:after="40"/>
      </w:pPr>
    </w:p>
    <w:p>
      <w:pPr>
        <w:pStyle w:val="Heading2"/>
        <w:spacing w:before="240" w:after="120"/>
      </w:pPr>
      <w:r>
        <w:rPr>
          <w:rFonts w:ascii="Arial" w:cs="Arial" w:eastAsia="Arial" w:hAnsi="Arial"/>
          <w:b/>
          <w:bCs/>
          <w:color w:val="2E5090"/>
          <w:sz w:val="26"/>
          <w:szCs w:val="26"/>
        </w:rPr>
        <w:t xml:space="preserve">2.2 The Phoenix Event — ASM Documented</w:t>
      </w:r>
    </w:p>
    <w:p>
      <w:pPr>
        <w:spacing w:before="80" w:after="80"/>
      </w:pPr>
      <w:r>
        <w:rPr>
          <w:rFonts w:ascii="Arial" w:cs="Arial" w:eastAsia="Arial" w:hAnsi="Arial"/>
          <w:sz w:val="20"/>
          <w:szCs w:val="20"/>
        </w:rPr>
        <w:t xml:space="preserve">The investigator documented this mechanism live at All Service Moving (ASM) during the December 9, 2025 Phoenix Event — a planned corporate dissolution masked as a failed expansion. ASM LLC was initially registered in Oregon in 2009</w:t>
      </w:r>
      <w:r>
        <w:rPr>
          <w:rFonts w:ascii="Arial" w:cs="Arial" w:eastAsia="Arial" w:hAnsi="Arial"/>
          <w:b/>
          <w:bCs/>
          <w:color w:val="2E5090"/>
          <w:sz w:val="17"/>
          <w:szCs w:val="17"/>
          <w:vertAlign w:val="superscript"/>
        </w:rPr>
        <w:t xml:space="preserve"> [REF-2]</w:t>
      </w:r>
      <w:r>
        <w:rPr>
          <w:rFonts w:ascii="Arial" w:cs="Arial" w:eastAsia="Arial" w:hAnsi="Arial"/>
          <w:sz w:val="20"/>
          <w:szCs w:val="20"/>
        </w:rPr>
        <w:t xml:space="preserve">, operating as All Service Moving from 2012. Two Oregon carrier licenses (#1863079 and #119893) share a single federal USDOT number (#1863079) — two separate legal identities, one operational entity. The investigator physically operated both locations.</w:t>
      </w:r>
    </w:p>
    <w:p>
      <w:pPr>
        <w:spacing w:before="30" w:after="30"/>
      </w:pPr>
    </w:p>
    <w:p>
      <w:pPr>
        <w:pStyle w:val="ListParagraph"/>
        <w:numPr>
          <w:ilvl w:val="0"/>
          <w:numId w:val="2"/>
        </w:numPr>
        <w:spacing w:before="60" w:after="60"/>
      </w:pPr>
      <w:r>
        <w:rPr>
          <w:rFonts w:ascii="Arial" w:cs="Arial" w:eastAsia="Arial" w:hAnsi="Arial"/>
          <w:sz w:val="20"/>
          <w:szCs w:val="20"/>
        </w:rPr>
        <w:t xml:space="preserve">Pre-lien revenue siphoning masked as debtor consolidation</w:t>
      </w:r>
    </w:p>
    <w:p>
      <w:pPr>
        <w:pStyle w:val="ListParagraph"/>
        <w:numPr>
          <w:ilvl w:val="0"/>
          <w:numId w:val="2"/>
        </w:numPr>
        <w:spacing w:before="60" w:after="60"/>
      </w:pPr>
      <w:r>
        <w:rPr>
          <w:rFonts w:ascii="Arial" w:cs="Arial" w:eastAsia="Arial" w:hAnsi="Arial"/>
          <w:sz w:val="20"/>
          <w:szCs w:val="20"/>
        </w:rPr>
        <w:t xml:space="preserve">Shell registration (Spirit Industrial, Cheese Weasel LLC) before IRS lien executes</w:t>
      </w:r>
    </w:p>
    <w:p>
      <w:pPr>
        <w:pStyle w:val="ListParagraph"/>
        <w:numPr>
          <w:ilvl w:val="0"/>
          <w:numId w:val="2"/>
        </w:numPr>
        <w:spacing w:before="60" w:after="60"/>
      </w:pPr>
      <w:r>
        <w:rPr>
          <w:rFonts w:ascii="Arial" w:cs="Arial" w:eastAsia="Arial" w:hAnsi="Arial"/>
          <w:sz w:val="20"/>
          <w:szCs w:val="20"/>
        </w:rPr>
        <w:t xml:space="preserve">Payroll break prevents IRS lien attaching to successor payroll</w:t>
      </w:r>
    </w:p>
    <w:p>
      <w:pPr>
        <w:pStyle w:val="ListParagraph"/>
        <w:numPr>
          <w:ilvl w:val="0"/>
          <w:numId w:val="2"/>
        </w:numPr>
        <w:spacing w:before="60" w:after="60"/>
      </w:pPr>
      <w:r>
        <w:rPr>
          <w:rFonts w:ascii="Arial" w:cs="Arial" w:eastAsia="Arial" w:hAnsi="Arial"/>
          <w:sz w:val="20"/>
          <w:szCs w:val="20"/>
        </w:rPr>
        <w:t xml:space="preserve">520 Beaverton reviews at 4.9 stars survive entity closure — visible in December 2025 screenshots [Exhibit B, Document 2]</w:t>
      </w:r>
    </w:p>
    <w:p>
      <w:pPr>
        <w:pStyle w:val="ListParagraph"/>
        <w:numPr>
          <w:ilvl w:val="0"/>
          <w:numId w:val="2"/>
        </w:numPr>
        <w:spacing w:before="60" w:after="60"/>
      </w:pPr>
      <w:r>
        <w:rPr>
          <w:rFonts w:ascii="Arial" w:cs="Arial" w:eastAsia="Arial" w:hAnsi="Arial"/>
          <w:color w:val="CC0000"/>
          <w:sz w:val="20"/>
          <w:szCs w:val="20"/>
        </w:rPr>
        <w:t xml:space="preserve">Keyword hijacking: Master Movers runs sponsored ad 'All Service Moving Master Movers' immediately after dissolution [Exhibit C, Document 2]</w:t>
      </w:r>
    </w:p>
    <w:p>
      <w:pPr>
        <w:spacing w:before="40" w:after="40"/>
      </w:pPr>
    </w:p>
    <w:p>
      <w:pPr>
        <w:pStyle w:val="Heading2"/>
        <w:spacing w:before="240" w:after="120"/>
      </w:pPr>
      <w:r>
        <w:rPr>
          <w:rFonts w:ascii="Arial" w:cs="Arial" w:eastAsia="Arial" w:hAnsi="Arial"/>
          <w:b/>
          <w:bCs/>
          <w:color w:val="2E5090"/>
          <w:sz w:val="26"/>
          <w:szCs w:val="26"/>
        </w:rPr>
        <w:t xml:space="preserve">2.3 Google Advertising Policy — May/June 2025</w:t>
      </w:r>
    </w:p>
    <w:p>
      <w:pPr>
        <w:spacing w:before="80" w:after="80"/>
      </w:pPr>
      <w:r>
        <w:rPr>
          <w:rFonts w:ascii="Arial" w:cs="Arial" w:eastAsia="Arial" w:hAnsi="Arial"/>
          <w:sz w:val="20"/>
          <w:szCs w:val="20"/>
        </w:rPr>
        <w:t xml:space="preserve">In May and June 2025, Google updated its Ads Transparency policy enabling unverified advertisers to edit their displayed payer name — allowing shell entities to run ads while self-declaring a payer identity that does not correspond to actual fund sources.</w:t>
      </w:r>
      <w:r>
        <w:rPr>
          <w:rFonts w:ascii="Arial" w:cs="Arial" w:eastAsia="Arial" w:hAnsi="Arial"/>
          <w:b/>
          <w:bCs/>
          <w:color w:val="2E5090"/>
          <w:sz w:val="17"/>
          <w:szCs w:val="17"/>
          <w:vertAlign w:val="superscript"/>
        </w:rPr>
        <w:t xml:space="preserve"> [REF-3]</w:t>
      </w:r>
      <w:r>
        <w:rPr>
          <w:rFonts w:ascii="Arial" w:cs="Arial" w:eastAsia="Arial" w:hAnsi="Arial"/>
          <w:sz w:val="20"/>
          <w:szCs w:val="20"/>
        </w:rPr>
        <w:t xml:space="preserve"> This is documented in YouTube Video ID 1YXtECX4x0s (StubGroup channel):</w:t>
      </w:r>
      <w:hyperlink w:history="1" r:id="rIdbkogqvpfkijxf1imp_a1t">
        <w:r>
          <w:rPr>
            <w:rFonts w:ascii="Arial" w:cs="Arial" w:eastAsia="Arial" w:hAnsi="Arial"/>
            <w:color w:val="0563C1"/>
            <w:sz w:val="20"/>
            <w:szCs w:val="20"/>
            <w:u w:val="single"/>
          </w:rPr>
          <w:t xml:space="preserve"> youtube.com/watch?v=1YXtECX4x0s</w:t>
        </w:r>
      </w:hyperlink>
      <w:r>
        <w:rPr>
          <w:rFonts w:ascii="Arial" w:cs="Arial" w:eastAsia="Arial" w:hAnsi="Arial"/>
          <w:b/>
          <w:bCs/>
          <w:color w:val="2E5090"/>
          <w:sz w:val="17"/>
          <w:szCs w:val="17"/>
          <w:vertAlign w:val="superscript"/>
        </w:rPr>
        <w:t xml:space="preserve"> [REF-4]</w:t>
      </w:r>
    </w:p>
    <w:p>
      <w:pPr>
        <w:spacing w:before="40"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thick" w:color="2E5090" w:sz="8"/>
              <w:bottom w:val="single" w:color="CCCCCC" w:sz="1"/>
              <w:right w:val="single" w:color="CCCCCC" w:sz="1"/>
            </w:tcBorders>
            <w:shd w:fill="EBF3FB" w:val="clear"/>
            <w:tcMar>
              <w:top w:type="dxa" w:w="120"/>
              <w:left w:type="dxa" w:w="180"/>
              <w:bottom w:type="dxa" w:w="120"/>
              <w:right w:type="dxa" w:w="180"/>
            </w:tcMar>
          </w:tcPr>
          <w:p>
            <w:pPr>
              <w:spacing w:before="60" w:after="40"/>
            </w:pPr>
            <w:r>
              <w:rPr>
                <w:rFonts w:ascii="Arial" w:cs="Arial" w:eastAsia="Arial" w:hAnsi="Arial"/>
                <w:b/>
                <w:bCs/>
                <w:color w:val="2E5090"/>
                <w:sz w:val="19"/>
                <w:szCs w:val="19"/>
              </w:rPr>
              <w:t xml:space="preserve">▶ FINDING: Intersect Power / Alphabet — December 2025 Timing</w:t>
            </w:r>
          </w:p>
          <w:p>
            <w:pPr>
              <w:spacing w:before="40" w:after="60"/>
            </w:pPr>
            <w:r>
              <w:rPr>
                <w:rFonts w:ascii="Arial" w:cs="Arial" w:eastAsia="Arial" w:hAnsi="Arial"/>
                <w:sz w:val="19"/>
                <w:szCs w:val="19"/>
              </w:rPr>
              <w:t xml:space="preserve">The investigator documented a plan to transfer ASM's review reputation to Intersect Power, whose PMB address is 9450 SW Gemini Drive, Beaverton, OR.</w:t>
            </w:r>
            <w:r>
              <w:rPr>
                <w:rFonts w:ascii="Arial" w:cs="Arial" w:eastAsia="Arial" w:hAnsi="Arial"/>
                <w:b/>
                <w:bCs/>
                <w:color w:val="2E5090"/>
                <w:sz w:val="16"/>
                <w:szCs w:val="16"/>
                <w:vertAlign w:val="superscript"/>
              </w:rPr>
              <w:t xml:space="preserve"> [REF-5]</w:t>
            </w:r>
            <w:r>
              <w:rPr>
                <w:rFonts w:ascii="Arial" w:cs="Arial" w:eastAsia="Arial" w:hAnsi="Arial"/>
                <w:sz w:val="19"/>
                <w:szCs w:val="19"/>
              </w:rPr>
              <w:t xml:space="preserve"> In December 2025, Alphabet acquired Intersect Power for $4.75 billion — the same month the review transfer was planned. Intersect Power's BBB file opened June 2024. BBB record: </w:t>
            </w:r>
            <w:hyperlink w:history="1" r:id="rIdntrndqvwguaalwswltp2v">
              <w:r>
                <w:rPr>
                  <w:rFonts w:ascii="Arial" w:cs="Arial" w:eastAsia="Arial" w:hAnsi="Arial"/>
                  <w:color w:val="0563C1"/>
                  <w:sz w:val="19"/>
                  <w:szCs w:val="19"/>
                  <w:u w:val="single"/>
                </w:rPr>
                <w:t xml:space="preserve">BBB.org/Intersect-Power</w:t>
              </w:r>
            </w:hyperlink>
            <w:r>
              <w:rPr>
                <w:rFonts w:ascii="Arial" w:cs="Arial" w:eastAsia="Arial" w:hAnsi="Arial"/>
                <w:b/>
                <w:bCs/>
                <w:color w:val="2E5090"/>
                <w:sz w:val="16"/>
                <w:szCs w:val="16"/>
                <w:vertAlign w:val="superscript"/>
              </w:rPr>
              <w:t xml:space="preserve"> [REF-5]</w:t>
            </w:r>
            <w:r>
              <w:rPr>
                <w:rFonts w:ascii="Arial" w:cs="Arial" w:eastAsia="Arial" w:hAnsi="Arial"/>
                <w:sz w:val="19"/>
                <w:szCs w:val="19"/>
              </w:rPr>
              <w:t xml:space="preserve">. Acquisition documentation: </w:t>
            </w:r>
            <w:hyperlink w:history="1" r:id="rIddvjzefnhcjxd0c9p_yt5s">
              <w:r>
                <w:rPr>
                  <w:rFonts w:ascii="Arial" w:cs="Arial" w:eastAsia="Arial" w:hAnsi="Arial"/>
                  <w:color w:val="0563C1"/>
                  <w:sz w:val="19"/>
                  <w:szCs w:val="19"/>
                  <w:u w:val="single"/>
                </w:rPr>
                <w:t xml:space="preserve">BusinessWire Dec 2025</w:t>
              </w:r>
            </w:hyperlink>
            <w:r>
              <w:rPr>
                <w:rFonts w:ascii="Arial" w:cs="Arial" w:eastAsia="Arial" w:hAnsi="Arial"/>
                <w:b/>
                <w:bCs/>
                <w:color w:val="2E5090"/>
                <w:sz w:val="16"/>
                <w:szCs w:val="16"/>
                <w:vertAlign w:val="superscript"/>
              </w:rPr>
              <w:t xml:space="preserve"> [REF-6]</w:t>
            </w:r>
          </w:p>
        </w:tc>
      </w:tr>
    </w:tbl>
    <w:p>
      <w:pPr>
        <w:spacing w:before="40" w:after="40"/>
      </w:pPr>
    </w:p>
    <w:p>
      <w:pPr>
        <w:pStyle w:val="Heading2"/>
        <w:spacing w:before="240" w:after="120"/>
      </w:pPr>
      <w:r>
        <w:rPr>
          <w:rFonts w:ascii="Arial" w:cs="Arial" w:eastAsia="Arial" w:hAnsi="Arial"/>
          <w:b/>
          <w:bCs/>
          <w:color w:val="2E5090"/>
          <w:sz w:val="26"/>
          <w:szCs w:val="26"/>
        </w:rPr>
        <w:t xml:space="preserve">2.4 USMCA Treaty Shield</w:t>
      </w:r>
    </w:p>
    <w:p>
      <w:pPr>
        <w:spacing w:before="80" w:after="80"/>
      </w:pPr>
      <w:r>
        <w:rPr>
          <w:rFonts w:ascii="Arial" w:cs="Arial" w:eastAsia="Arial" w:hAnsi="Arial"/>
          <w:sz w:val="20"/>
          <w:szCs w:val="20"/>
        </w:rPr>
        <w:t xml:space="preserve">USMCA Articles 19.11, 19.16, and 19.17 create structural barriers to algorithmic accountability. Article 19.16's source code protection does not apply to judicial discovery in active tort proceedings. Article 19.17's Section 230 equivalent is inapplicable when the platform acts as an autonomous operative agent rather than a passive host — the Platform-as-Actor doctrine currently before the Ninth and Second Circuit Courts of Appeals.</w:t>
      </w:r>
    </w:p>
    <w:p>
      <w:pPr>
        <w:spacing w:before="40" w:after="40"/>
      </w:pPr>
    </w:p>
    <w:p>
      <w:pPr>
        <w:pStyle w:val="Heading2"/>
        <w:spacing w:before="240" w:after="120"/>
      </w:pPr>
      <w:r>
        <w:rPr>
          <w:rFonts w:ascii="Arial" w:cs="Arial" w:eastAsia="Arial" w:hAnsi="Arial"/>
          <w:b/>
          <w:bCs/>
          <w:color w:val="2E5090"/>
          <w:sz w:val="26"/>
          <w:szCs w:val="26"/>
        </w:rPr>
        <w:t xml:space="preserve">2.5 The Christensen Precedent</w:t>
      </w:r>
    </w:p>
    <w:p>
      <w:pPr>
        <w:spacing w:before="80" w:after="80"/>
      </w:pPr>
      <w:r>
        <w:rPr>
          <w:rFonts w:ascii="Arial" w:cs="Arial" w:eastAsia="Arial" w:hAnsi="Arial"/>
          <w:sz w:val="20"/>
          <w:szCs w:val="20"/>
        </w:rPr>
        <w:t xml:space="preserve">The May 2025 federal wire fraud conviction of Robert D. Christensen (Sherwood, OR — $18 million scheme) provides corroborating precedent: his shell entities maintained Algorithmically Whitelisted status on the Google platform throughout the documented fraud by virtue of continuous advertising spend. Source: </w:t>
      </w:r>
      <w:hyperlink w:history="1" r:id="rId8n0pfpce3cjdppsz524pg">
        <w:r>
          <w:rPr>
            <w:rFonts w:ascii="Arial" w:cs="Arial" w:eastAsia="Arial" w:hAnsi="Arial"/>
            <w:color w:val="0563C1"/>
            <w:sz w:val="20"/>
            <w:szCs w:val="20"/>
            <w:u w:val="single"/>
          </w:rPr>
          <w:t xml:space="preserve">Valley Times News — Christensen Conviction</w:t>
        </w:r>
      </w:hyperlink>
      <w:r>
        <w:rPr>
          <w:rFonts w:ascii="Arial" w:cs="Arial" w:eastAsia="Arial" w:hAnsi="Arial"/>
          <w:b/>
          <w:bCs/>
          <w:color w:val="2E5090"/>
          <w:sz w:val="17"/>
          <w:szCs w:val="17"/>
          <w:vertAlign w:val="superscript"/>
        </w:rPr>
        <w:t xml:space="preserve"> [REF-7]</w:t>
      </w:r>
    </w:p>
    <w:p>
      <w:r>
        <w:br w:type="page"/>
      </w:r>
    </w:p>
    <w:p>
      <w:pPr>
        <w:pStyle w:val="Heading1"/>
        <w:pBdr>
          <w:bottom w:val="single" w:color="1F3864" w:sz="4" w:space="4"/>
        </w:pBdr>
        <w:spacing w:before="360" w:after="180"/>
      </w:pPr>
      <w:r>
        <w:rPr>
          <w:rFonts w:ascii="Arial" w:cs="Arial" w:eastAsia="Arial" w:hAnsi="Arial"/>
          <w:b/>
          <w:bCs/>
          <w:color w:val="1F3864"/>
          <w:sz w:val="32"/>
          <w:szCs w:val="32"/>
        </w:rPr>
        <w:t xml:space="preserve">3. TURING.COM AGI ADVANCE NEWSLETTER — EXHIBIT D: FULL BACKDATING ANALYSIS</w:t>
      </w:r>
    </w:p>
    <w:p>
      <w:pPr>
        <w:spacing w:before="80" w:after="80"/>
      </w:pPr>
      <w:r>
        <w:rPr>
          <w:rFonts w:ascii="Arial" w:cs="Arial" w:eastAsia="Arial" w:hAnsi="Arial"/>
          <w:sz w:val="20"/>
          <w:szCs w:val="20"/>
        </w:rPr>
        <w:t xml:space="preserve">This section fulfills Exhibit D from the March 2, 2026 supplemental letter: 'Turing Newsletter #19 Timestamp Anomaly — Document bearing a metadata timestamp of July 2025 containing explicit references to data that did not exist until December 2025.' The full series of 49 newsletters has been analyzed. Newsletter 19 URL: </w:t>
      </w:r>
      <w:hyperlink w:history="1" r:id="rIduahzqme3k3j-vlnysqslv">
        <w:r>
          <w:rPr>
            <w:rFonts w:ascii="Arial" w:cs="Arial" w:eastAsia="Arial" w:hAnsi="Arial"/>
            <w:color w:val="0563C1"/>
            <w:sz w:val="20"/>
            <w:szCs w:val="20"/>
            <w:u w:val="single"/>
          </w:rPr>
          <w:t xml:space="preserve">turing.com/blog/agi-advance-newsletter-19</w:t>
        </w:r>
      </w:hyperlink>
      <w:r>
        <w:rPr>
          <w:rFonts w:ascii="Arial" w:cs="Arial" w:eastAsia="Arial" w:hAnsi="Arial"/>
          <w:b/>
          <w:bCs/>
          <w:color w:val="2E5090"/>
          <w:sz w:val="17"/>
          <w:szCs w:val="17"/>
          <w:vertAlign w:val="superscript"/>
        </w:rPr>
        <w:t xml:space="preserve"> [REF-8]</w:t>
      </w:r>
    </w:p>
    <w:p>
      <w:pPr>
        <w:spacing w:before="40" w:after="40"/>
      </w:pPr>
    </w:p>
    <w:p>
      <w:pPr>
        <w:pStyle w:val="Heading2"/>
        <w:spacing w:before="240" w:after="120"/>
      </w:pPr>
      <w:r>
        <w:rPr>
          <w:rFonts w:ascii="Arial" w:cs="Arial" w:eastAsia="Arial" w:hAnsi="Arial"/>
          <w:b/>
          <w:bCs/>
          <w:color w:val="2E5090"/>
          <w:sz w:val="26"/>
          <w:szCs w:val="26"/>
        </w:rPr>
        <w:t xml:space="preserve">3.1 Confirmed Newsletter Anchors — Weekly Cadence Established</w:t>
      </w:r>
    </w:p>
    <w:p>
      <w:pPr>
        <w:spacing w:before="80" w:after="80"/>
      </w:pPr>
      <w:r>
        <w:rPr>
          <w:rFonts w:ascii="Arial" w:cs="Arial" w:eastAsia="Arial" w:hAnsi="Arial"/>
          <w:sz w:val="20"/>
          <w:szCs w:val="20"/>
        </w:rPr>
        <w:t xml:space="preserve">14 newsletters confirmed via search engine index dates establish a strict weekly (Tuesday) schedule beginning February 25, 2025. All anchor URLs are live at turing.com/blog/agi-advance-newsletter-[N]:</w:t>
      </w:r>
    </w:p>
    <w:p>
      <w:pPr>
        <w:spacing w:before="30" w:after="3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1600"/>
        <w:gridCol w:w="7160"/>
      </w:tblGrid>
      <w:tr>
        <w:trPr>
          <w:tblHeader/>
        </w:trPr>
        <w:tc>
          <w:tcPr>
            <w:tcW w:type="dxa" w:w="6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NL #</w:t>
            </w:r>
          </w:p>
        </w:tc>
        <w:tc>
          <w:tcPr>
            <w:tcW w:type="dxa" w:w="16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Confirmed Date</w:t>
            </w:r>
          </w:p>
        </w:tc>
        <w:tc>
          <w:tcPr>
            <w:tcW w:type="dxa" w:w="716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Live URL</w:t>
            </w:r>
          </w:p>
        </w:tc>
      </w:tr>
      <w:tr>
        <w:tc>
          <w:tcPr>
            <w:tcW w:type="dxa" w:w="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6"/>
                <w:szCs w:val="16"/>
              </w:rPr>
              <w:t xml:space="preserve">3</w:t>
            </w:r>
          </w:p>
        </w:tc>
        <w:tc>
          <w:tcPr>
            <w:tcW w:type="dxa" w:w="1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000000"/>
                <w:sz w:val="16"/>
                <w:szCs w:val="16"/>
              </w:rPr>
              <w:t xml:space="preserve">Mar 11, 2025</w:t>
            </w:r>
          </w:p>
        </w:tc>
        <w:tc>
          <w:tcPr>
            <w:tcW w:type="dxa" w:w="71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vicllpwjt-ln1h8wjsaxd">
              <w:r>
                <w:rPr>
                  <w:rFonts w:ascii="Courier New" w:cs="Courier New" w:eastAsia="Courier New" w:hAnsi="Courier New"/>
                  <w:color w:val="0563C1"/>
                  <w:sz w:val="14"/>
                  <w:szCs w:val="14"/>
                  <w:u w:val="single"/>
                </w:rPr>
                <w:t xml:space="preserve">https://www.turing.com/blog/agi-advance-newsletter-03</w:t>
              </w:r>
            </w:hyperlink>
          </w:p>
        </w:tc>
      </w:tr>
      <w:tr>
        <w:tc>
          <w:tcPr>
            <w:tcW w:type="dxa" w:w="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6"/>
                <w:szCs w:val="16"/>
              </w:rPr>
              <w:t xml:space="preserve">6</w:t>
            </w:r>
          </w:p>
        </w:tc>
        <w:tc>
          <w:tcPr>
            <w:tcW w:type="dxa" w:w="1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000000"/>
                <w:sz w:val="16"/>
                <w:szCs w:val="16"/>
              </w:rPr>
              <w:t xml:space="preserve">Apr 1, 2025</w:t>
            </w:r>
          </w:p>
        </w:tc>
        <w:tc>
          <w:tcPr>
            <w:tcW w:type="dxa" w:w="71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iejfkeft37j94i8zatt9u">
              <w:r>
                <w:rPr>
                  <w:rFonts w:ascii="Courier New" w:cs="Courier New" w:eastAsia="Courier New" w:hAnsi="Courier New"/>
                  <w:color w:val="0563C1"/>
                  <w:sz w:val="14"/>
                  <w:szCs w:val="14"/>
                  <w:u w:val="single"/>
                </w:rPr>
                <w:t xml:space="preserve">https://www.turing.com/blog/agi-advance-newsletter-06</w:t>
              </w:r>
            </w:hyperlink>
          </w:p>
        </w:tc>
      </w:tr>
      <w:tr>
        <w:tc>
          <w:tcPr>
            <w:tcW w:type="dxa" w:w="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6"/>
                <w:szCs w:val="16"/>
              </w:rPr>
              <w:t xml:space="preserve">7</w:t>
            </w:r>
          </w:p>
        </w:tc>
        <w:tc>
          <w:tcPr>
            <w:tcW w:type="dxa" w:w="1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000000"/>
                <w:sz w:val="16"/>
                <w:szCs w:val="16"/>
              </w:rPr>
              <w:t xml:space="preserve">Apr 8, 2025</w:t>
            </w:r>
          </w:p>
        </w:tc>
        <w:tc>
          <w:tcPr>
            <w:tcW w:type="dxa" w:w="71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dhnnezxwjhlmlskuj7sk1">
              <w:r>
                <w:rPr>
                  <w:rFonts w:ascii="Courier New" w:cs="Courier New" w:eastAsia="Courier New" w:hAnsi="Courier New"/>
                  <w:color w:val="0563C1"/>
                  <w:sz w:val="14"/>
                  <w:szCs w:val="14"/>
                  <w:u w:val="single"/>
                </w:rPr>
                <w:t xml:space="preserve">https://www.turing.com/blog/agi-advance-newsletter-07</w:t>
              </w:r>
            </w:hyperlink>
          </w:p>
        </w:tc>
      </w:tr>
      <w:tr>
        <w:tc>
          <w:tcPr>
            <w:tcW w:type="dxa" w:w="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6"/>
                <w:szCs w:val="16"/>
              </w:rPr>
              <w:t xml:space="preserve">9</w:t>
            </w:r>
          </w:p>
        </w:tc>
        <w:tc>
          <w:tcPr>
            <w:tcW w:type="dxa" w:w="1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000000"/>
                <w:sz w:val="16"/>
                <w:szCs w:val="16"/>
              </w:rPr>
              <w:t xml:space="preserve">Apr 22, 2025</w:t>
            </w:r>
          </w:p>
        </w:tc>
        <w:tc>
          <w:tcPr>
            <w:tcW w:type="dxa" w:w="71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9tcpk1mjefp3t86naz9dg">
              <w:r>
                <w:rPr>
                  <w:rFonts w:ascii="Courier New" w:cs="Courier New" w:eastAsia="Courier New" w:hAnsi="Courier New"/>
                  <w:color w:val="0563C1"/>
                  <w:sz w:val="14"/>
                  <w:szCs w:val="14"/>
                  <w:u w:val="single"/>
                </w:rPr>
                <w:t xml:space="preserve">https://www.turing.com/blog/agi-advance-newsletter-09</w:t>
              </w:r>
            </w:hyperlink>
          </w:p>
        </w:tc>
      </w:tr>
      <w:tr>
        <w:tc>
          <w:tcPr>
            <w:tcW w:type="dxa" w:w="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6"/>
                <w:szCs w:val="16"/>
              </w:rPr>
              <w:t xml:space="preserve">16</w:t>
            </w:r>
          </w:p>
        </w:tc>
        <w:tc>
          <w:tcPr>
            <w:tcW w:type="dxa" w:w="1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000000"/>
                <w:sz w:val="16"/>
                <w:szCs w:val="16"/>
              </w:rPr>
              <w:t xml:space="preserve">Jun 10, 2025</w:t>
            </w:r>
          </w:p>
        </w:tc>
        <w:tc>
          <w:tcPr>
            <w:tcW w:type="dxa" w:w="71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wbvh5bbiuljmcv51gqleq">
              <w:r>
                <w:rPr>
                  <w:rFonts w:ascii="Courier New" w:cs="Courier New" w:eastAsia="Courier New" w:hAnsi="Courier New"/>
                  <w:color w:val="0563C1"/>
                  <w:sz w:val="14"/>
                  <w:szCs w:val="14"/>
                  <w:u w:val="single"/>
                </w:rPr>
                <w:t xml:space="preserve">https://www.turing.com/blog/agi-advance-newsletter-16</w:t>
              </w:r>
            </w:hyperlink>
          </w:p>
        </w:tc>
      </w:tr>
      <w:tr>
        <w:tc>
          <w:tcPr>
            <w:tcW w:type="dxa" w:w="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6"/>
                <w:szCs w:val="16"/>
              </w:rPr>
              <w:t xml:space="preserve">17</w:t>
            </w:r>
          </w:p>
        </w:tc>
        <w:tc>
          <w:tcPr>
            <w:tcW w:type="dxa" w:w="1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000000"/>
                <w:sz w:val="16"/>
                <w:szCs w:val="16"/>
              </w:rPr>
              <w:t xml:space="preserve">Jun 17, 2025</w:t>
            </w:r>
          </w:p>
        </w:tc>
        <w:tc>
          <w:tcPr>
            <w:tcW w:type="dxa" w:w="71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4ldxuk4fyinqghgygyqia">
              <w:r>
                <w:rPr>
                  <w:rFonts w:ascii="Courier New" w:cs="Courier New" w:eastAsia="Courier New" w:hAnsi="Courier New"/>
                  <w:color w:val="0563C1"/>
                  <w:sz w:val="14"/>
                  <w:szCs w:val="14"/>
                  <w:u w:val="single"/>
                </w:rPr>
                <w:t xml:space="preserve">https://www.turing.com/blog/agi-advance-newsletter-17</w:t>
              </w:r>
            </w:hyperlink>
          </w:p>
        </w:tc>
      </w:tr>
      <w:tr>
        <w:tc>
          <w:tcPr>
            <w:tcW w:type="dxa" w:w="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6"/>
                <w:szCs w:val="16"/>
              </w:rPr>
              <w:t xml:space="preserve">23</w:t>
            </w:r>
          </w:p>
        </w:tc>
        <w:tc>
          <w:tcPr>
            <w:tcW w:type="dxa" w:w="1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000000"/>
                <w:sz w:val="16"/>
                <w:szCs w:val="16"/>
              </w:rPr>
              <w:t xml:space="preserve">Jul 29, 2025</w:t>
            </w:r>
          </w:p>
        </w:tc>
        <w:tc>
          <w:tcPr>
            <w:tcW w:type="dxa" w:w="71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wwai53b4zkuxlfosja4i2">
              <w:r>
                <w:rPr>
                  <w:rFonts w:ascii="Courier New" w:cs="Courier New" w:eastAsia="Courier New" w:hAnsi="Courier New"/>
                  <w:color w:val="0563C1"/>
                  <w:sz w:val="14"/>
                  <w:szCs w:val="14"/>
                  <w:u w:val="single"/>
                </w:rPr>
                <w:t xml:space="preserve">https://www.turing.com/blog/agi-advance-newsletter-23</w:t>
              </w:r>
            </w:hyperlink>
          </w:p>
        </w:tc>
      </w:tr>
      <w:tr>
        <w:tc>
          <w:tcPr>
            <w:tcW w:type="dxa" w:w="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6"/>
                <w:szCs w:val="16"/>
              </w:rPr>
              <w:t xml:space="preserve">27</w:t>
            </w:r>
          </w:p>
        </w:tc>
        <w:tc>
          <w:tcPr>
            <w:tcW w:type="dxa" w:w="1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000000"/>
                <w:sz w:val="16"/>
                <w:szCs w:val="16"/>
              </w:rPr>
              <w:t xml:space="preserve">Aug 26, 2025</w:t>
            </w:r>
          </w:p>
        </w:tc>
        <w:tc>
          <w:tcPr>
            <w:tcW w:type="dxa" w:w="71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d10vhbylkvalsgcugag3q">
              <w:r>
                <w:rPr>
                  <w:rFonts w:ascii="Courier New" w:cs="Courier New" w:eastAsia="Courier New" w:hAnsi="Courier New"/>
                  <w:color w:val="0563C1"/>
                  <w:sz w:val="14"/>
                  <w:szCs w:val="14"/>
                  <w:u w:val="single"/>
                </w:rPr>
                <w:t xml:space="preserve">https://www.turing.com/blog/agi-advance-newsletter-27</w:t>
              </w:r>
            </w:hyperlink>
          </w:p>
        </w:tc>
      </w:tr>
      <w:tr>
        <w:tc>
          <w:tcPr>
            <w:tcW w:type="dxa" w:w="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6"/>
                <w:szCs w:val="16"/>
              </w:rPr>
              <w:t xml:space="preserve">32</w:t>
            </w:r>
          </w:p>
        </w:tc>
        <w:tc>
          <w:tcPr>
            <w:tcW w:type="dxa" w:w="1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000000"/>
                <w:sz w:val="16"/>
                <w:szCs w:val="16"/>
              </w:rPr>
              <w:t xml:space="preserve">Sep 30, 2025</w:t>
            </w:r>
          </w:p>
        </w:tc>
        <w:tc>
          <w:tcPr>
            <w:tcW w:type="dxa" w:w="71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7rgmlvtv3lfkhjvrldmfp">
              <w:r>
                <w:rPr>
                  <w:rFonts w:ascii="Courier New" w:cs="Courier New" w:eastAsia="Courier New" w:hAnsi="Courier New"/>
                  <w:color w:val="0563C1"/>
                  <w:sz w:val="14"/>
                  <w:szCs w:val="14"/>
                  <w:u w:val="single"/>
                </w:rPr>
                <w:t xml:space="preserve">https://www.turing.com/blog/agi-advance-newsletter-32</w:t>
              </w:r>
            </w:hyperlink>
          </w:p>
        </w:tc>
      </w:tr>
      <w:tr>
        <w:tc>
          <w:tcPr>
            <w:tcW w:type="dxa" w:w="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6"/>
                <w:szCs w:val="16"/>
              </w:rPr>
              <w:t xml:space="preserve">34</w:t>
            </w:r>
          </w:p>
        </w:tc>
        <w:tc>
          <w:tcPr>
            <w:tcW w:type="dxa" w:w="1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000000"/>
                <w:sz w:val="16"/>
                <w:szCs w:val="16"/>
              </w:rPr>
              <w:t xml:space="preserve">Oct 14, 2025</w:t>
            </w:r>
          </w:p>
        </w:tc>
        <w:tc>
          <w:tcPr>
            <w:tcW w:type="dxa" w:w="71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xaxrhl2vz3ovpvbz9qqu6">
              <w:r>
                <w:rPr>
                  <w:rFonts w:ascii="Courier New" w:cs="Courier New" w:eastAsia="Courier New" w:hAnsi="Courier New"/>
                  <w:color w:val="0563C1"/>
                  <w:sz w:val="14"/>
                  <w:szCs w:val="14"/>
                  <w:u w:val="single"/>
                </w:rPr>
                <w:t xml:space="preserve">https://www.turing.com/blog/agi-advance-newsletter-34</w:t>
              </w:r>
            </w:hyperlink>
          </w:p>
        </w:tc>
      </w:tr>
      <w:tr>
        <w:tc>
          <w:tcPr>
            <w:tcW w:type="dxa" w:w="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6"/>
                <w:szCs w:val="16"/>
              </w:rPr>
              <w:t xml:space="preserve">44</w:t>
            </w:r>
          </w:p>
        </w:tc>
        <w:tc>
          <w:tcPr>
            <w:tcW w:type="dxa" w:w="1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000000"/>
                <w:sz w:val="16"/>
                <w:szCs w:val="16"/>
              </w:rPr>
              <w:t xml:space="preserve">Dec 23, 2025</w:t>
            </w:r>
          </w:p>
        </w:tc>
        <w:tc>
          <w:tcPr>
            <w:tcW w:type="dxa" w:w="71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lzookp2awgzwcxue_vlgi">
              <w:r>
                <w:rPr>
                  <w:rFonts w:ascii="Courier New" w:cs="Courier New" w:eastAsia="Courier New" w:hAnsi="Courier New"/>
                  <w:color w:val="0563C1"/>
                  <w:sz w:val="14"/>
                  <w:szCs w:val="14"/>
                  <w:u w:val="single"/>
                </w:rPr>
                <w:t xml:space="preserve">https://www.turing.com/blog/agi-advance-newsletter-44</w:t>
              </w:r>
            </w:hyperlink>
          </w:p>
        </w:tc>
      </w:tr>
      <w:tr>
        <w:tc>
          <w:tcPr>
            <w:tcW w:type="dxa" w:w="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6"/>
                <w:szCs w:val="16"/>
              </w:rPr>
              <w:t xml:space="preserve">47</w:t>
            </w:r>
          </w:p>
        </w:tc>
        <w:tc>
          <w:tcPr>
            <w:tcW w:type="dxa" w:w="1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000000"/>
                <w:sz w:val="16"/>
                <w:szCs w:val="16"/>
              </w:rPr>
              <w:t xml:space="preserve">Jan 13, 2026</w:t>
            </w:r>
          </w:p>
        </w:tc>
        <w:tc>
          <w:tcPr>
            <w:tcW w:type="dxa" w:w="71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mk0zjltmyoaipn2ybgjir">
              <w:r>
                <w:rPr>
                  <w:rFonts w:ascii="Courier New" w:cs="Courier New" w:eastAsia="Courier New" w:hAnsi="Courier New"/>
                  <w:color w:val="0563C1"/>
                  <w:sz w:val="14"/>
                  <w:szCs w:val="14"/>
                  <w:u w:val="single"/>
                </w:rPr>
                <w:t xml:space="preserve">https://www.turing.com/blog/agi-advance-newsletter-47</w:t>
              </w:r>
            </w:hyperlink>
          </w:p>
        </w:tc>
      </w:tr>
      <w:tr>
        <w:tc>
          <w:tcPr>
            <w:tcW w:type="dxa" w:w="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6"/>
                <w:szCs w:val="16"/>
              </w:rPr>
              <w:t xml:space="preserve">48</w:t>
            </w:r>
          </w:p>
        </w:tc>
        <w:tc>
          <w:tcPr>
            <w:tcW w:type="dxa" w:w="16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000000"/>
                <w:sz w:val="16"/>
                <w:szCs w:val="16"/>
              </w:rPr>
              <w:t xml:space="preserve">Jan 20, 2026</w:t>
            </w:r>
          </w:p>
        </w:tc>
        <w:tc>
          <w:tcPr>
            <w:tcW w:type="dxa" w:w="71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ssglgn_ll1wl1vwdh9uth">
              <w:r>
                <w:rPr>
                  <w:rFonts w:ascii="Courier New" w:cs="Courier New" w:eastAsia="Courier New" w:hAnsi="Courier New"/>
                  <w:color w:val="0563C1"/>
                  <w:sz w:val="14"/>
                  <w:szCs w:val="14"/>
                  <w:u w:val="single"/>
                </w:rPr>
                <w:t xml:space="preserve">https://www.turing.com/blog/agi-advance-newsletter-48</w:t>
              </w:r>
            </w:hyperlink>
          </w:p>
        </w:tc>
      </w:tr>
      <w:tr>
        <w:tc>
          <w:tcPr>
            <w:tcW w:type="dxa" w:w="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6"/>
                <w:szCs w:val="16"/>
              </w:rPr>
              <w:t xml:space="preserve">49</w:t>
            </w:r>
          </w:p>
        </w:tc>
        <w:tc>
          <w:tcPr>
            <w:tcW w:type="dxa" w:w="16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000000"/>
                <w:sz w:val="16"/>
                <w:szCs w:val="16"/>
              </w:rPr>
              <w:t xml:space="preserve">Jan 27, 2026</w:t>
            </w:r>
          </w:p>
        </w:tc>
        <w:tc>
          <w:tcPr>
            <w:tcW w:type="dxa" w:w="71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u_fzc--_09vlvysxpoaxo">
              <w:r>
                <w:rPr>
                  <w:rFonts w:ascii="Courier New" w:cs="Courier New" w:eastAsia="Courier New" w:hAnsi="Courier New"/>
                  <w:color w:val="0563C1"/>
                  <w:sz w:val="14"/>
                  <w:szCs w:val="14"/>
                  <w:u w:val="single"/>
                </w:rPr>
                <w:t xml:space="preserve">https://www.turing.com/blog/agi-advance-newsletter-49</w:t>
              </w:r>
            </w:hyperlink>
          </w:p>
        </w:tc>
      </w:tr>
    </w:tbl>
    <w:p>
      <w:pPr>
        <w:spacing w:before="40" w:after="40"/>
      </w:pPr>
    </w:p>
    <w:p>
      <w:pPr>
        <w:pStyle w:val="Heading2"/>
        <w:spacing w:before="240" w:after="120"/>
      </w:pPr>
      <w:r>
        <w:rPr>
          <w:rFonts w:ascii="Arial" w:cs="Arial" w:eastAsia="Arial" w:hAnsi="Arial"/>
          <w:b/>
          <w:bCs/>
          <w:color w:val="2E5090"/>
          <w:sz w:val="26"/>
          <w:szCs w:val="26"/>
        </w:rPr>
        <w:t xml:space="preserve">3.2 Newsletter 19 — Full Forensic Analysis</w:t>
      </w:r>
    </w:p>
    <w:p>
      <w:pPr>
        <w:spacing w:before="80" w:after="80"/>
      </w:pPr>
      <w:r>
        <w:rPr>
          <w:rFonts w:ascii="Arial" w:cs="Arial" w:eastAsia="Arial" w:hAnsi="Arial"/>
          <w:sz w:val="20"/>
          <w:szCs w:val="20"/>
        </w:rPr>
        <w:t xml:space="preserve">Newsletter 19 expected date: July 1, 2025 (derived from confirmed weekly cadence). Direct URL: </w:t>
      </w:r>
      <w:hyperlink w:history="1" r:id="rIdxim84juvhzpqyb6fmttxv">
        <w:r>
          <w:rPr>
            <w:rFonts w:ascii="Arial" w:cs="Arial" w:eastAsia="Arial" w:hAnsi="Arial"/>
            <w:color w:val="0563C1"/>
            <w:sz w:val="20"/>
            <w:szCs w:val="20"/>
            <w:u w:val="single"/>
          </w:rPr>
          <w:t xml:space="preserve">turing.com/blog/agi-advance-newsletter-19</w:t>
        </w:r>
      </w:hyperlink>
      <w:r>
        <w:rPr>
          <w:rFonts w:ascii="Arial" w:cs="Arial" w:eastAsia="Arial" w:hAnsi="Arial"/>
          <w:sz w:val="20"/>
          <w:szCs w:val="20"/>
        </w:rPr>
        <w:t xml:space="preserve">. Zero organic search results returned for this URL across all searches conducted March 16, 2026.</w:t>
      </w:r>
      <w:r>
        <w:rPr>
          <w:rFonts w:ascii="Arial" w:cs="Arial" w:eastAsia="Arial" w:hAnsi="Arial"/>
          <w:b/>
          <w:bCs/>
          <w:color w:val="2E5090"/>
          <w:sz w:val="17"/>
          <w:szCs w:val="17"/>
          <w:vertAlign w:val="superscript"/>
        </w:rPr>
        <w:t xml:space="preserve"> [REF-9]</w:t>
      </w:r>
    </w:p>
    <w:p>
      <w:pPr>
        <w:spacing w:before="20" w:after="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thick" w:color="CC0000" w:sz="8"/>
              <w:bottom w:val="single" w:color="CCCCCC" w:sz="1"/>
              <w:right w:val="single" w:color="CCCCCC" w:sz="1"/>
            </w:tcBorders>
            <w:shd w:fill="FFE8E8" w:val="clear"/>
            <w:tcMar>
              <w:top w:type="dxa" w:w="120"/>
              <w:left w:type="dxa" w:w="180"/>
              <w:bottom w:type="dxa" w:w="120"/>
              <w:right w:type="dxa" w:w="180"/>
            </w:tcMar>
          </w:tcPr>
          <w:p>
            <w:pPr>
              <w:spacing w:before="60" w:after="40"/>
            </w:pPr>
            <w:r>
              <w:rPr>
                <w:rFonts w:ascii="Arial" w:cs="Arial" w:eastAsia="Arial" w:hAnsi="Arial"/>
                <w:b/>
                <w:bCs/>
                <w:color w:val="CC0000"/>
                <w:sz w:val="19"/>
                <w:szCs w:val="19"/>
              </w:rPr>
              <w:t xml:space="preserve">▶ FINDING: Newsletter 19 — MACB Timestamp Anomaly</w:t>
            </w:r>
          </w:p>
          <w:p>
            <w:pPr>
              <w:spacing w:before="40" w:after="60"/>
            </w:pPr>
            <w:r>
              <w:rPr>
                <w:rFonts w:ascii="Arial" w:cs="Arial" w:eastAsia="Arial" w:hAnsi="Arial"/>
                <w:sz w:val="19"/>
                <w:szCs w:val="19"/>
              </w:rPr>
              <w:t xml:space="preserve">Under the MACB (Modified, Accessed, Created, Born) framework: the article's Birth timestamp (when it became publicly accessible — December 2025) occurs 5 months after its stated date (July 2025). No Wayback Machine snapshot exists in the July-November 2025 window. The article was 'born' in December 2025 — not July 2025. Its July slug was assigned retroactively. Wayback Machine check: </w:t>
            </w:r>
            <w:hyperlink w:history="1" r:id="rId1ho1l-1dutxhprs1e1bld">
              <w:r>
                <w:rPr>
                  <w:rFonts w:ascii="Arial" w:cs="Arial" w:eastAsia="Arial" w:hAnsi="Arial"/>
                  <w:color w:val="0563C1"/>
                  <w:sz w:val="19"/>
                  <w:szCs w:val="19"/>
                  <w:u w:val="single"/>
                </w:rPr>
                <w:t xml:space="preserve">web.archive.org (no snapshot)</w:t>
              </w:r>
            </w:hyperlink>
            <w:r>
              <w:rPr>
                <w:rFonts w:ascii="Arial" w:cs="Arial" w:eastAsia="Arial" w:hAnsi="Arial"/>
                <w:b/>
                <w:bCs/>
                <w:color w:val="CC0000"/>
                <w:sz w:val="16"/>
                <w:szCs w:val="16"/>
                <w:vertAlign w:val="superscript"/>
              </w:rPr>
              <w:t xml:space="preserve"> [REF-9,10]</w:t>
            </w:r>
          </w:p>
        </w:tc>
      </w:tr>
    </w:tbl>
    <w:p>
      <w:pPr>
        <w:spacing w:before="30" w:after="30"/>
      </w:pPr>
    </w:p>
    <w:p>
      <w:pPr>
        <w:pStyle w:val="Heading2"/>
        <w:spacing w:before="240" w:after="120"/>
      </w:pPr>
      <w:r>
        <w:rPr>
          <w:rFonts w:ascii="Arial" w:cs="Arial" w:eastAsia="Arial" w:hAnsi="Arial"/>
          <w:b/>
          <w:bCs/>
          <w:color w:val="2E5090"/>
          <w:sz w:val="26"/>
          <w:szCs w:val="26"/>
        </w:rPr>
        <w:t xml:space="preserve">3.3 GA4 Paid Promotion — Complete URL Preserved</w:t>
      </w:r>
    </w:p>
    <w:p>
      <w:pPr>
        <w:spacing w:before="80" w:after="80"/>
      </w:pPr>
      <w:r>
        <w:rPr>
          <w:rFonts w:ascii="Arial" w:cs="Arial" w:eastAsia="Arial" w:hAnsi="Arial"/>
          <w:sz w:val="20"/>
          <w:szCs w:val="20"/>
        </w:rPr>
        <w:t xml:space="preserve">The following URL was served to the investigator via paid Google Ad. All tracking parameters are preserved verbatim as evidence:</w:t>
      </w:r>
    </w:p>
    <w:p>
      <w:pPr>
        <w:spacing w:before="10" w:after="10"/>
      </w:pPr>
    </w:p>
    <w:p>
      <w:pPr>
        <w:pBdr>
          <w:top w:val="single" w:color="CCCCCC" w:sz="1"/>
          <w:bottom w:val="single" w:color="CCCCCC" w:sz="1"/>
          <w:left w:val="thick" w:color="CC0000" w:sz="8"/>
          <w:right w:val="single" w:color="CCCCCC" w:sz="1"/>
        </w:pBdr>
        <w:shd w:fill="F5F5F5" w:val="clear"/>
        <w:spacing w:before="60" w:after="60"/>
      </w:pPr>
      <w:hyperlink w:history="1" r:id="rId3wn2q45ii6dpfcu0l2jtn">
        <w:r>
          <w:rPr>
            <w:rFonts w:ascii="Courier New" w:cs="Courier New" w:eastAsia="Courier New" w:hAnsi="Courier New"/>
            <w:color w:val="CC0000"/>
            <w:sz w:val="13"/>
            <w:szCs w:val="13"/>
            <w:u w:val="single"/>
          </w:rPr>
          <w:t xml:space="preserve">https://www.turing.com/blog/agi-advance-newsletter-19?_gl=1*1871pu1*_gcl_au*MTgxOTA2MzkxNy4xNzY2OTQzNzY4*_ga*ODQ2MDA5NzMuMTc2NjkOMzc2OA..*_ga_GEFBMW3PHT*czE3Njc4MTgyMDIkbzQkZZEkDE3Njc4MTgyODckajYwJGwwJGgw</w:t>
        </w:r>
      </w:hyperlink>
    </w:p>
    <w:p>
      <w:pPr>
        <w:spacing w:before="20" w:after="20"/>
      </w:pPr>
    </w:p>
    <w:p>
      <w:pPr>
        <w:spacing w:before="80" w:after="80"/>
      </w:pPr>
      <w:r>
        <w:rPr>
          <w:rFonts w:ascii="Arial" w:cs="Arial" w:eastAsia="Arial" w:hAnsi="Arial"/>
          <w:b/>
          <w:bCs/>
          <w:sz w:val="20"/>
          <w:szCs w:val="20"/>
        </w:rPr>
        <w:t xml:space="preserve">GA4 parameter decode: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000"/>
        <w:gridCol w:w="4560"/>
      </w:tblGrid>
      <w:tr>
        <w:trPr>
          <w:tblHeader/>
        </w:trPr>
        <w:tc>
          <w:tcPr>
            <w:tcW w:type="dxa" w:w="18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Parameter</w:t>
            </w:r>
          </w:p>
        </w:tc>
        <w:tc>
          <w:tcPr>
            <w:tcW w:type="dxa" w:w="30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Value</w:t>
            </w:r>
          </w:p>
        </w:tc>
        <w:tc>
          <w:tcPr>
            <w:tcW w:type="dxa" w:w="456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Forensic Meaning</w:t>
            </w:r>
          </w:p>
        </w:tc>
      </w:tr>
      <w:tr>
        <w:tc>
          <w:tcPr>
            <w:tcW w:type="dxa" w:w="1800"/>
            <w:tcBorders>
              <w:top w:val="single" w:color="CCCCCC" w:sz="1"/>
              <w:left w:val="single" w:color="CCCCCC" w:sz="1"/>
              <w:bottom w:val="single" w:color="CCCCCC" w:sz="1"/>
              <w:right w:val="single" w:color="CCCCCC" w:sz="1"/>
            </w:tcBorders>
            <w:shd w:fill="FFE8E8" w:val="clear"/>
            <w:tcMar>
              <w:top w:type="dxa" w:w="50"/>
              <w:left w:type="dxa" w:w="80"/>
              <w:bottom w:type="dxa" w:w="50"/>
              <w:right w:type="dxa" w:w="80"/>
            </w:tcMar>
          </w:tcPr>
          <w:p>
            <w:r>
              <w:rPr>
                <w:rFonts w:ascii="Courier New" w:cs="Courier New" w:eastAsia="Courier New" w:hAnsi="Courier New"/>
                <w:b/>
                <w:bCs/>
                <w:color w:val="CC0000"/>
                <w:sz w:val="14"/>
                <w:szCs w:val="14"/>
              </w:rPr>
              <w:t xml:space="preserve">_gcl_au</w:t>
            </w:r>
          </w:p>
        </w:tc>
        <w:tc>
          <w:tcPr>
            <w:tcW w:type="dxa" w:w="3000"/>
            <w:tcBorders>
              <w:top w:val="single" w:color="CCCCCC" w:sz="1"/>
              <w:left w:val="single" w:color="CCCCCC" w:sz="1"/>
              <w:bottom w:val="single" w:color="CCCCCC" w:sz="1"/>
              <w:right w:val="single" w:color="CCCCCC" w:sz="1"/>
            </w:tcBorders>
            <w:shd w:fill="FFE8E8" w:val="clear"/>
            <w:tcMar>
              <w:top w:type="dxa" w:w="50"/>
              <w:left w:type="dxa" w:w="80"/>
              <w:bottom w:type="dxa" w:w="50"/>
              <w:right w:type="dxa" w:w="80"/>
            </w:tcMar>
          </w:tcPr>
          <w:p>
            <w:r>
              <w:rPr>
                <w:rFonts w:ascii="Courier New" w:cs="Courier New" w:eastAsia="Courier New" w:hAnsi="Courier New"/>
                <w:b w:val="false"/>
                <w:bCs w:val="false"/>
                <w:color w:val="000000"/>
                <w:sz w:val="14"/>
                <w:szCs w:val="14"/>
              </w:rPr>
              <w:t xml:space="preserve">MTgxOTA2MzkxNy4xNzY2OTQzNzY4</w:t>
            </w:r>
          </w:p>
        </w:tc>
        <w:tc>
          <w:tcPr>
            <w:tcW w:type="dxa" w:w="4560"/>
            <w:tcBorders>
              <w:top w:val="single" w:color="CCCCCC" w:sz="1"/>
              <w:left w:val="single" w:color="CCCCCC" w:sz="1"/>
              <w:bottom w:val="single" w:color="CCCCCC" w:sz="1"/>
              <w:right w:val="single" w:color="CCCCCC" w:sz="1"/>
            </w:tcBorders>
            <w:shd w:fill="FFE8E8" w:val="clear"/>
            <w:tcMar>
              <w:top w:type="dxa" w:w="50"/>
              <w:left w:type="dxa" w:w="80"/>
              <w:bottom w:type="dxa" w:w="50"/>
              <w:right w:type="dxa" w:w="80"/>
            </w:tcMar>
          </w:tcPr>
          <w:p>
            <w:r>
              <w:rPr>
                <w:rFonts w:ascii="Arial" w:cs="Arial" w:eastAsia="Arial" w:hAnsi="Arial"/>
                <w:b/>
                <w:bCs/>
                <w:color w:val="CC0000"/>
                <w:sz w:val="15"/>
                <w:szCs w:val="15"/>
              </w:rPr>
              <w:t xml:space="preserve">Google Ads Click Linker v2 — CONFIRMS PAID AD CLICK. Timestamp decode 1766943768 = Dec 28, 2025 UTC. Verify: </w:t>
            </w:r>
            <w:hyperlink w:history="1" r:id="rId5_hxaa2ci1s1xnpqrfddv">
              <w:r>
                <w:rPr>
                  <w:rFonts w:ascii="Arial" w:cs="Arial" w:eastAsia="Arial" w:hAnsi="Arial"/>
                  <w:color w:val="0563C1"/>
                  <w:sz w:val="15"/>
                  <w:szCs w:val="15"/>
                  <w:u w:val="single"/>
                </w:rPr>
                <w:t xml:space="preserve">epochconverter.com</w:t>
              </w:r>
            </w:hyperlink>
          </w:p>
        </w:tc>
      </w:tr>
      <w:tr>
        <w:tc>
          <w:tcPr>
            <w:tcW w:type="dxa" w:w="1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Courier New" w:cs="Courier New" w:eastAsia="Courier New" w:hAnsi="Courier New"/>
                <w:b w:val="false"/>
                <w:bCs w:val="false"/>
                <w:color w:val="000000"/>
                <w:sz w:val="14"/>
                <w:szCs w:val="14"/>
              </w:rPr>
              <w:t xml:space="preserve">_ga</w:t>
            </w:r>
          </w:p>
        </w:tc>
        <w:tc>
          <w:tcPr>
            <w:tcW w:type="dxa" w:w="30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Courier New" w:cs="Courier New" w:eastAsia="Courier New" w:hAnsi="Courier New"/>
                <w:b w:val="false"/>
                <w:bCs w:val="false"/>
                <w:color w:val="000000"/>
                <w:sz w:val="14"/>
                <w:szCs w:val="14"/>
              </w:rPr>
              <w:t xml:space="preserve">ODQ2MDA5NzMuMTc2NjkOMzc2OA..</w:t>
            </w:r>
          </w:p>
        </w:tc>
        <w:tc>
          <w:tcPr>
            <w:tcW w:type="dxa" w:w="45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GA4 user/session ID — identifies specific user for cross-session tracking</w:t>
            </w:r>
          </w:p>
        </w:tc>
      </w:tr>
      <w:tr>
        <w:tc>
          <w:tcPr>
            <w:tcW w:type="dxa" w:w="1800"/>
            <w:tcBorders>
              <w:top w:val="single" w:color="CCCCCC" w:sz="1"/>
              <w:left w:val="single" w:color="CCCCCC" w:sz="1"/>
              <w:bottom w:val="single" w:color="CCCCCC" w:sz="1"/>
              <w:right w:val="single" w:color="CCCCCC" w:sz="1"/>
            </w:tcBorders>
            <w:shd w:fill="FFE8E8" w:val="clear"/>
            <w:tcMar>
              <w:top w:type="dxa" w:w="50"/>
              <w:left w:type="dxa" w:w="80"/>
              <w:bottom w:type="dxa" w:w="50"/>
              <w:right w:type="dxa" w:w="80"/>
            </w:tcMar>
          </w:tcPr>
          <w:p>
            <w:r>
              <w:rPr>
                <w:rFonts w:ascii="Courier New" w:cs="Courier New" w:eastAsia="Courier New" w:hAnsi="Courier New"/>
                <w:b/>
                <w:bCs/>
                <w:color w:val="CC0000"/>
                <w:sz w:val="14"/>
                <w:szCs w:val="14"/>
              </w:rPr>
              <w:t xml:space="preserve">_ga_GEFBMW3PHT</w:t>
            </w:r>
          </w:p>
        </w:tc>
        <w:tc>
          <w:tcPr>
            <w:tcW w:type="dxa" w:w="3000"/>
            <w:tcBorders>
              <w:top w:val="single" w:color="CCCCCC" w:sz="1"/>
              <w:left w:val="single" w:color="CCCCCC" w:sz="1"/>
              <w:bottom w:val="single" w:color="CCCCCC" w:sz="1"/>
              <w:right w:val="single" w:color="CCCCCC" w:sz="1"/>
            </w:tcBorders>
            <w:shd w:fill="FFE8E8" w:val="clear"/>
            <w:tcMar>
              <w:top w:type="dxa" w:w="50"/>
              <w:left w:type="dxa" w:w="80"/>
              <w:bottom w:type="dxa" w:w="50"/>
              <w:right w:type="dxa" w:w="80"/>
            </w:tcMar>
          </w:tcPr>
          <w:p>
            <w:r>
              <w:rPr>
                <w:rFonts w:ascii="Courier New" w:cs="Courier New" w:eastAsia="Courier New" w:hAnsi="Courier New"/>
                <w:b w:val="false"/>
                <w:bCs w:val="false"/>
                <w:color w:val="000000"/>
                <w:sz w:val="14"/>
                <w:szCs w:val="14"/>
              </w:rPr>
              <w:t xml:space="preserve">czE3Njc4MTgyMDIkbzQk...</w:t>
            </w:r>
          </w:p>
        </w:tc>
        <w:tc>
          <w:tcPr>
            <w:tcW w:type="dxa" w:w="4560"/>
            <w:tcBorders>
              <w:top w:val="single" w:color="CCCCCC" w:sz="1"/>
              <w:left w:val="single" w:color="CCCCCC" w:sz="1"/>
              <w:bottom w:val="single" w:color="CCCCCC" w:sz="1"/>
              <w:right w:val="single" w:color="CCCCCC" w:sz="1"/>
            </w:tcBorders>
            <w:shd w:fill="FFE8E8" w:val="clear"/>
            <w:tcMar>
              <w:top w:type="dxa" w:w="50"/>
              <w:left w:type="dxa" w:w="80"/>
              <w:bottom w:type="dxa" w:w="50"/>
              <w:right w:type="dxa" w:w="80"/>
            </w:tcMar>
          </w:tcPr>
          <w:p>
            <w:r>
              <w:rPr>
                <w:rFonts w:ascii="Arial" w:cs="Arial" w:eastAsia="Arial" w:hAnsi="Arial"/>
                <w:b/>
                <w:bCs/>
                <w:color w:val="CC0000"/>
                <w:sz w:val="15"/>
                <w:szCs w:val="15"/>
              </w:rPr>
              <w:t xml:space="preserve">MOST ACTIONABLE: GA4 property-specific measurement ID. GEFBMW3PHT identifies the exact ad campaign. Subpoena of Google Ads records for this property ID reveals who purchased the promotion. Docs: </w:t>
            </w:r>
            <w:hyperlink w:history="1" r:id="rIdjtm2tienz_ay3xh_btp4o">
              <w:r>
                <w:rPr>
                  <w:rFonts w:ascii="Arial" w:cs="Arial" w:eastAsia="Arial" w:hAnsi="Arial"/>
                  <w:color w:val="0563C1"/>
                  <w:sz w:val="15"/>
                  <w:szCs w:val="15"/>
                  <w:u w:val="single"/>
                </w:rPr>
                <w:t xml:space="preserve">support.google.com/analytics/answer/9964992</w:t>
              </w:r>
            </w:hyperlink>
          </w:p>
        </w:tc>
      </w:tr>
    </w:tbl>
    <w:p>
      <w:pPr>
        <w:spacing w:before="40" w:after="40"/>
      </w:pPr>
    </w:p>
    <w:p>
      <w:pPr>
        <w:pStyle w:val="Heading2"/>
        <w:spacing w:before="240" w:after="120"/>
      </w:pPr>
      <w:r>
        <w:rPr>
          <w:rFonts w:ascii="Arial" w:cs="Arial" w:eastAsia="Arial" w:hAnsi="Arial"/>
          <w:b/>
          <w:bCs/>
          <w:color w:val="2E5090"/>
          <w:sz w:val="26"/>
          <w:szCs w:val="26"/>
        </w:rPr>
        <w:t xml:space="preserve">3.4 Full 49-Newsletter Catalog</w:t>
      </w:r>
    </w:p>
    <w:p>
      <w:pPr>
        <w:spacing w:before="80" w:after="80"/>
      </w:pPr>
      <w:r>
        <w:rPr>
          <w:rFonts w:ascii="Arial" w:cs="Arial" w:eastAsia="Arial" w:hAnsi="Arial"/>
          <w:sz w:val="20"/>
          <w:szCs w:val="20"/>
        </w:rPr>
        <w:t xml:space="preserve">Complete series analysis. Newsletter 19 highlighted red. Confirmed indexed entries in green. Gaps in amber.</w:t>
      </w:r>
    </w:p>
    <w:p>
      <w:pPr>
        <w:spacing w:before="30" w:after="3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1100"/>
        <w:gridCol w:w="2000"/>
        <w:gridCol w:w="1300"/>
        <w:gridCol w:w="1360"/>
        <w:gridCol w:w="3200"/>
      </w:tblGrid>
      <w:tr>
        <w:trPr>
          <w:tblHeader/>
        </w:trPr>
        <w:tc>
          <w:tcPr>
            <w:tcW w:type="dxa" w:w="4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w:t>
            </w:r>
          </w:p>
        </w:tc>
        <w:tc>
          <w:tcPr>
            <w:tcW w:type="dxa" w:w="11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Expected Date</w:t>
            </w:r>
          </w:p>
        </w:tc>
        <w:tc>
          <w:tcPr>
            <w:tcW w:type="dxa" w:w="20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URL Slug</w:t>
            </w:r>
          </w:p>
        </w:tc>
        <w:tc>
          <w:tcPr>
            <w:tcW w:type="dxa" w:w="13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Index Date</w:t>
            </w:r>
          </w:p>
        </w:tc>
        <w:tc>
          <w:tcPr>
            <w:tcW w:type="dxa" w:w="136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Status</w:t>
            </w:r>
          </w:p>
        </w:tc>
        <w:tc>
          <w:tcPr>
            <w:tcW w:type="dxa" w:w="32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Notes</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1</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Feb 25,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rcdl9ilc5c1wixn7hjnp6">
              <w:r>
                <w:rPr>
                  <w:rFonts w:ascii="Courier New" w:cs="Courier New" w:eastAsia="Courier New" w:hAnsi="Courier New"/>
                  <w:color w:val="0563C1"/>
                  <w:sz w:val="13"/>
                  <w:szCs w:val="13"/>
                  <w:u w:val="single"/>
                </w:rPr>
                <w:t xml:space="preserve">newsletter-01</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Early series</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2</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Mar 4,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6wcizubs0ntzotll13kmf">
              <w:r>
                <w:rPr>
                  <w:rFonts w:ascii="Courier New" w:cs="Courier New" w:eastAsia="Courier New" w:hAnsi="Courier New"/>
                  <w:color w:val="0563C1"/>
                  <w:sz w:val="13"/>
                  <w:szCs w:val="13"/>
                  <w:u w:val="single"/>
                </w:rPr>
                <w:t xml:space="preserve">newsletter-02</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Early series</w:t>
            </w:r>
          </w:p>
        </w:tc>
      </w:tr>
      <w:tr>
        <w:tc>
          <w:tcPr>
            <w:tcW w:type="dxa" w:w="4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2E5090"/>
                <w:sz w:val="16"/>
                <w:szCs w:val="16"/>
              </w:rPr>
              <w:t xml:space="preserve">3</w:t>
            </w:r>
          </w:p>
        </w:tc>
        <w:tc>
          <w:tcPr>
            <w:tcW w:type="dxa" w:w="11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Mar 11, 2025</w:t>
            </w:r>
          </w:p>
        </w:tc>
        <w:tc>
          <w:tcPr>
            <w:tcW w:type="dxa" w:w="2000"/>
            <w:tcBorders>
              <w:top w:val="single" w:color="CCCCCC" w:sz="1"/>
              <w:left w:val="single" w:color="CCCCCC" w:sz="1"/>
              <w:bottom w:val="single" w:color="CCCCCC" w:sz="1"/>
              <w:right w:val="single" w:color="CCCCCC" w:sz="1"/>
            </w:tcBorders>
            <w:shd w:fill="E8FFE8" w:val="clear"/>
            <w:tcMar>
              <w:top w:type="dxa" w:w="45"/>
              <w:left w:type="dxa" w:w="80"/>
              <w:bottom w:type="dxa" w:w="45"/>
              <w:right w:type="dxa" w:w="80"/>
            </w:tcMar>
          </w:tcPr>
          <w:p>
            <w:hyperlink w:history="1" r:id="rIdla1s1gpmxsvvwev3pbop0">
              <w:r>
                <w:rPr>
                  <w:rFonts w:ascii="Courier New" w:cs="Courier New" w:eastAsia="Courier New" w:hAnsi="Courier New"/>
                  <w:color w:val="0563C1"/>
                  <w:sz w:val="13"/>
                  <w:szCs w:val="13"/>
                  <w:u w:val="single"/>
                </w:rPr>
                <w:t xml:space="preserve">newsletter-03</w:t>
              </w:r>
            </w:hyperlink>
          </w:p>
        </w:tc>
        <w:tc>
          <w:tcPr>
            <w:tcW w:type="dxa" w:w="13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Mar 11, 2025</w:t>
            </w:r>
          </w:p>
        </w:tc>
        <w:tc>
          <w:tcPr>
            <w:tcW w:type="dxa" w:w="136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 anchor</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4</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Mar 18,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icfqy24waxwgjyjcnurqt">
              <w:r>
                <w:rPr>
                  <w:rFonts w:ascii="Courier New" w:cs="Courier New" w:eastAsia="Courier New" w:hAnsi="Courier New"/>
                  <w:color w:val="0563C1"/>
                  <w:sz w:val="13"/>
                  <w:szCs w:val="13"/>
                  <w:u w:val="single"/>
                </w:rPr>
                <w:t xml:space="preserve">newsletter-04</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5</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Mar 25,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uyzjfrddlajfltcrf36ye">
              <w:r>
                <w:rPr>
                  <w:rFonts w:ascii="Courier New" w:cs="Courier New" w:eastAsia="Courier New" w:hAnsi="Courier New"/>
                  <w:color w:val="0563C1"/>
                  <w:sz w:val="13"/>
                  <w:szCs w:val="13"/>
                  <w:u w:val="single"/>
                </w:rPr>
                <w:t xml:space="preserve">newsletter-05</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2E5090"/>
                <w:sz w:val="16"/>
                <w:szCs w:val="16"/>
              </w:rPr>
              <w:t xml:space="preserve">6</w:t>
            </w:r>
          </w:p>
        </w:tc>
        <w:tc>
          <w:tcPr>
            <w:tcW w:type="dxa" w:w="11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Apr 1, 2025</w:t>
            </w:r>
          </w:p>
        </w:tc>
        <w:tc>
          <w:tcPr>
            <w:tcW w:type="dxa" w:w="2000"/>
            <w:tcBorders>
              <w:top w:val="single" w:color="CCCCCC" w:sz="1"/>
              <w:left w:val="single" w:color="CCCCCC" w:sz="1"/>
              <w:bottom w:val="single" w:color="CCCCCC" w:sz="1"/>
              <w:right w:val="single" w:color="CCCCCC" w:sz="1"/>
            </w:tcBorders>
            <w:shd w:fill="C0FFC0" w:val="clear"/>
            <w:tcMar>
              <w:top w:type="dxa" w:w="45"/>
              <w:left w:type="dxa" w:w="80"/>
              <w:bottom w:type="dxa" w:w="45"/>
              <w:right w:type="dxa" w:w="80"/>
            </w:tcMar>
          </w:tcPr>
          <w:p>
            <w:hyperlink w:history="1" r:id="rIdhfeyc9mvypmdzv5ly8aed">
              <w:r>
                <w:rPr>
                  <w:rFonts w:ascii="Courier New" w:cs="Courier New" w:eastAsia="Courier New" w:hAnsi="Courier New"/>
                  <w:color w:val="0563C1"/>
                  <w:sz w:val="13"/>
                  <w:szCs w:val="13"/>
                  <w:u w:val="single"/>
                </w:rPr>
                <w:t xml:space="preserve">newsletter-06</w:t>
              </w:r>
            </w:hyperlink>
          </w:p>
        </w:tc>
        <w:tc>
          <w:tcPr>
            <w:tcW w:type="dxa" w:w="13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Apr 7, 2025</w:t>
            </w:r>
          </w:p>
        </w:tc>
        <w:tc>
          <w:tcPr>
            <w:tcW w:type="dxa" w:w="136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 — 6d lag</w:t>
            </w:r>
          </w:p>
        </w:tc>
      </w:tr>
      <w:tr>
        <w:tc>
          <w:tcPr>
            <w:tcW w:type="dxa" w:w="4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2E5090"/>
                <w:sz w:val="16"/>
                <w:szCs w:val="16"/>
              </w:rPr>
              <w:t xml:space="preserve">7</w:t>
            </w:r>
          </w:p>
        </w:tc>
        <w:tc>
          <w:tcPr>
            <w:tcW w:type="dxa" w:w="11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Apr 8, 2025</w:t>
            </w:r>
          </w:p>
        </w:tc>
        <w:tc>
          <w:tcPr>
            <w:tcW w:type="dxa" w:w="2000"/>
            <w:tcBorders>
              <w:top w:val="single" w:color="CCCCCC" w:sz="1"/>
              <w:left w:val="single" w:color="CCCCCC" w:sz="1"/>
              <w:bottom w:val="single" w:color="CCCCCC" w:sz="1"/>
              <w:right w:val="single" w:color="CCCCCC" w:sz="1"/>
            </w:tcBorders>
            <w:shd w:fill="E8FFE8" w:val="clear"/>
            <w:tcMar>
              <w:top w:type="dxa" w:w="45"/>
              <w:left w:type="dxa" w:w="80"/>
              <w:bottom w:type="dxa" w:w="45"/>
              <w:right w:type="dxa" w:w="80"/>
            </w:tcMar>
          </w:tcPr>
          <w:p>
            <w:hyperlink w:history="1" r:id="rId0uijw0mgwdut6zadjmxpl">
              <w:r>
                <w:rPr>
                  <w:rFonts w:ascii="Courier New" w:cs="Courier New" w:eastAsia="Courier New" w:hAnsi="Courier New"/>
                  <w:color w:val="0563C1"/>
                  <w:sz w:val="13"/>
                  <w:szCs w:val="13"/>
                  <w:u w:val="single"/>
                </w:rPr>
                <w:t xml:space="preserve">newsletter-07</w:t>
              </w:r>
            </w:hyperlink>
          </w:p>
        </w:tc>
        <w:tc>
          <w:tcPr>
            <w:tcW w:type="dxa" w:w="13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Apr 9, 2025</w:t>
            </w:r>
          </w:p>
        </w:tc>
        <w:tc>
          <w:tcPr>
            <w:tcW w:type="dxa" w:w="136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 — 1d lag</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8</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Apr 15,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rvznsj6-x2kdwxk9ici5x">
              <w:r>
                <w:rPr>
                  <w:rFonts w:ascii="Courier New" w:cs="Courier New" w:eastAsia="Courier New" w:hAnsi="Courier New"/>
                  <w:color w:val="0563C1"/>
                  <w:sz w:val="13"/>
                  <w:szCs w:val="13"/>
                  <w:u w:val="single"/>
                </w:rPr>
                <w:t xml:space="preserve">newsletter-08</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2E5090"/>
                <w:sz w:val="16"/>
                <w:szCs w:val="16"/>
              </w:rPr>
              <w:t xml:space="preserve">9</w:t>
            </w:r>
          </w:p>
        </w:tc>
        <w:tc>
          <w:tcPr>
            <w:tcW w:type="dxa" w:w="11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Apr 22, 2025</w:t>
            </w:r>
          </w:p>
        </w:tc>
        <w:tc>
          <w:tcPr>
            <w:tcW w:type="dxa" w:w="2000"/>
            <w:tcBorders>
              <w:top w:val="single" w:color="CCCCCC" w:sz="1"/>
              <w:left w:val="single" w:color="CCCCCC" w:sz="1"/>
              <w:bottom w:val="single" w:color="CCCCCC" w:sz="1"/>
              <w:right w:val="single" w:color="CCCCCC" w:sz="1"/>
            </w:tcBorders>
            <w:shd w:fill="E8FFE8" w:val="clear"/>
            <w:tcMar>
              <w:top w:type="dxa" w:w="45"/>
              <w:left w:type="dxa" w:w="80"/>
              <w:bottom w:type="dxa" w:w="45"/>
              <w:right w:type="dxa" w:w="80"/>
            </w:tcMar>
          </w:tcPr>
          <w:p>
            <w:hyperlink w:history="1" r:id="rIdxxbhqwlrer0dj0yab2tob">
              <w:r>
                <w:rPr>
                  <w:rFonts w:ascii="Courier New" w:cs="Courier New" w:eastAsia="Courier New" w:hAnsi="Courier New"/>
                  <w:color w:val="0563C1"/>
                  <w:sz w:val="13"/>
                  <w:szCs w:val="13"/>
                  <w:u w:val="single"/>
                </w:rPr>
                <w:t xml:space="preserve">newsletter-09</w:t>
              </w:r>
            </w:hyperlink>
          </w:p>
        </w:tc>
        <w:tc>
          <w:tcPr>
            <w:tcW w:type="dxa" w:w="13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Apr 22, 2025</w:t>
            </w:r>
          </w:p>
        </w:tc>
        <w:tc>
          <w:tcPr>
            <w:tcW w:type="dxa" w:w="136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10</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Apr 29,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jccraeskv0p9yu25knivq">
              <w:r>
                <w:rPr>
                  <w:rFonts w:ascii="Courier New" w:cs="Courier New" w:eastAsia="Courier New" w:hAnsi="Courier New"/>
                  <w:color w:val="0563C1"/>
                  <w:sz w:val="13"/>
                  <w:szCs w:val="13"/>
                  <w:u w:val="single"/>
                </w:rPr>
                <w:t xml:space="preserve">newsletter-10</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11</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May 6,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0pumibjsta5llop7lbfqg">
              <w:r>
                <w:rPr>
                  <w:rFonts w:ascii="Courier New" w:cs="Courier New" w:eastAsia="Courier New" w:hAnsi="Courier New"/>
                  <w:color w:val="0563C1"/>
                  <w:sz w:val="13"/>
                  <w:szCs w:val="13"/>
                  <w:u w:val="single"/>
                </w:rPr>
                <w:t xml:space="preserve">newsletter-11</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12</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May 13,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4yejulmlldc3heoedfjul">
              <w:r>
                <w:rPr>
                  <w:rFonts w:ascii="Courier New" w:cs="Courier New" w:eastAsia="Courier New" w:hAnsi="Courier New"/>
                  <w:color w:val="0563C1"/>
                  <w:sz w:val="13"/>
                  <w:szCs w:val="13"/>
                  <w:u w:val="single"/>
                </w:rPr>
                <w:t xml:space="preserve">newsletter-12</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13</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May 20,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fatejcuysrbgj-trramw5">
              <w:r>
                <w:rPr>
                  <w:rFonts w:ascii="Courier New" w:cs="Courier New" w:eastAsia="Courier New" w:hAnsi="Courier New"/>
                  <w:color w:val="0563C1"/>
                  <w:sz w:val="13"/>
                  <w:szCs w:val="13"/>
                  <w:u w:val="single"/>
                </w:rPr>
                <w:t xml:space="preserve">newsletter-13</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14</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May 27,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djwquxby3jcjbwswrwrqh">
              <w:r>
                <w:rPr>
                  <w:rFonts w:ascii="Courier New" w:cs="Courier New" w:eastAsia="Courier New" w:hAnsi="Courier New"/>
                  <w:color w:val="0563C1"/>
                  <w:sz w:val="13"/>
                  <w:szCs w:val="13"/>
                  <w:u w:val="single"/>
                </w:rPr>
                <w:t xml:space="preserve">newsletter-14</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15</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Jun 3,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lrowpndoffptmouzyxesq">
              <w:r>
                <w:rPr>
                  <w:rFonts w:ascii="Courier New" w:cs="Courier New" w:eastAsia="Courier New" w:hAnsi="Courier New"/>
                  <w:color w:val="0563C1"/>
                  <w:sz w:val="13"/>
                  <w:szCs w:val="13"/>
                  <w:u w:val="single"/>
                </w:rPr>
                <w:t xml:space="preserve">newsletter-15</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2E5090"/>
                <w:sz w:val="16"/>
                <w:szCs w:val="16"/>
              </w:rPr>
              <w:t xml:space="preserve">16</w:t>
            </w:r>
          </w:p>
        </w:tc>
        <w:tc>
          <w:tcPr>
            <w:tcW w:type="dxa" w:w="11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Jun 10, 2025</w:t>
            </w:r>
          </w:p>
        </w:tc>
        <w:tc>
          <w:tcPr>
            <w:tcW w:type="dxa" w:w="2000"/>
            <w:tcBorders>
              <w:top w:val="single" w:color="CCCCCC" w:sz="1"/>
              <w:left w:val="single" w:color="CCCCCC" w:sz="1"/>
              <w:bottom w:val="single" w:color="CCCCCC" w:sz="1"/>
              <w:right w:val="single" w:color="CCCCCC" w:sz="1"/>
            </w:tcBorders>
            <w:shd w:fill="C0FFC0" w:val="clear"/>
            <w:tcMar>
              <w:top w:type="dxa" w:w="45"/>
              <w:left w:type="dxa" w:w="80"/>
              <w:bottom w:type="dxa" w:w="45"/>
              <w:right w:type="dxa" w:w="80"/>
            </w:tcMar>
          </w:tcPr>
          <w:p>
            <w:hyperlink w:history="1" r:id="rIdubow6buudk1shyvlf7ce-">
              <w:r>
                <w:rPr>
                  <w:rFonts w:ascii="Courier New" w:cs="Courier New" w:eastAsia="Courier New" w:hAnsi="Courier New"/>
                  <w:color w:val="0563C1"/>
                  <w:sz w:val="13"/>
                  <w:szCs w:val="13"/>
                  <w:u w:val="single"/>
                </w:rPr>
                <w:t xml:space="preserve">newsletter-16</w:t>
              </w:r>
            </w:hyperlink>
          </w:p>
        </w:tc>
        <w:tc>
          <w:tcPr>
            <w:tcW w:type="dxa" w:w="13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Jun 10, 2025</w:t>
            </w:r>
          </w:p>
        </w:tc>
        <w:tc>
          <w:tcPr>
            <w:tcW w:type="dxa" w:w="136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w:t>
            </w:r>
          </w:p>
        </w:tc>
      </w:tr>
      <w:tr>
        <w:tc>
          <w:tcPr>
            <w:tcW w:type="dxa" w:w="4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2E5090"/>
                <w:sz w:val="16"/>
                <w:szCs w:val="16"/>
              </w:rPr>
              <w:t xml:space="preserve">17</w:t>
            </w:r>
          </w:p>
        </w:tc>
        <w:tc>
          <w:tcPr>
            <w:tcW w:type="dxa" w:w="11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Jun 17, 2025</w:t>
            </w:r>
          </w:p>
        </w:tc>
        <w:tc>
          <w:tcPr>
            <w:tcW w:type="dxa" w:w="2000"/>
            <w:tcBorders>
              <w:top w:val="single" w:color="CCCCCC" w:sz="1"/>
              <w:left w:val="single" w:color="CCCCCC" w:sz="1"/>
              <w:bottom w:val="single" w:color="CCCCCC" w:sz="1"/>
              <w:right w:val="single" w:color="CCCCCC" w:sz="1"/>
            </w:tcBorders>
            <w:shd w:fill="E8FFE8" w:val="clear"/>
            <w:tcMar>
              <w:top w:type="dxa" w:w="45"/>
              <w:left w:type="dxa" w:w="80"/>
              <w:bottom w:type="dxa" w:w="45"/>
              <w:right w:type="dxa" w:w="80"/>
            </w:tcMar>
          </w:tcPr>
          <w:p>
            <w:hyperlink w:history="1" r:id="rIdnldlun3jio1osdhld_waz">
              <w:r>
                <w:rPr>
                  <w:rFonts w:ascii="Courier New" w:cs="Courier New" w:eastAsia="Courier New" w:hAnsi="Courier New"/>
                  <w:color w:val="0563C1"/>
                  <w:sz w:val="13"/>
                  <w:szCs w:val="13"/>
                  <w:u w:val="single"/>
                </w:rPr>
                <w:t xml:space="preserve">newsletter-17</w:t>
              </w:r>
            </w:hyperlink>
          </w:p>
        </w:tc>
        <w:tc>
          <w:tcPr>
            <w:tcW w:type="dxa" w:w="13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Jun 17, 2025</w:t>
            </w:r>
          </w:p>
        </w:tc>
        <w:tc>
          <w:tcPr>
            <w:tcW w:type="dxa" w:w="136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18</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Jun 24,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fku1t3uxtgdvamswwlgbd">
              <w:r>
                <w:rPr>
                  <w:rFonts w:ascii="Courier New" w:cs="Courier New" w:eastAsia="Courier New" w:hAnsi="Courier New"/>
                  <w:color w:val="0563C1"/>
                  <w:sz w:val="13"/>
                  <w:szCs w:val="13"/>
                  <w:u w:val="single"/>
                </w:rPr>
                <w:t xml:space="preserve">newsletter-18</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Start of anomaly window</w:t>
            </w:r>
          </w:p>
        </w:tc>
      </w:tr>
      <w:tr>
        <w:tc>
          <w:tcPr>
            <w:tcW w:type="dxa" w:w="400"/>
            <w:tcBorders>
              <w:top w:val="single" w:color="CCCCCC" w:sz="1"/>
              <w:left w:val="single" w:color="CCCCCC" w:sz="1"/>
              <w:bottom w:val="single" w:color="CCCCCC" w:sz="1"/>
              <w:right w:val="single" w:color="CCCCCC" w:sz="1"/>
            </w:tcBorders>
            <w:shd w:fill="FFB0B0" w:val="clear"/>
            <w:tcMar>
              <w:top w:type="dxa" w:w="50"/>
              <w:left w:type="dxa" w:w="80"/>
              <w:bottom w:type="dxa" w:w="50"/>
              <w:right w:type="dxa" w:w="80"/>
            </w:tcMar>
          </w:tcPr>
          <w:p>
            <w:r>
              <w:rPr>
                <w:rFonts w:ascii="Arial" w:cs="Arial" w:eastAsia="Arial" w:hAnsi="Arial"/>
                <w:b/>
                <w:bCs/>
                <w:color w:val="CC0000"/>
                <w:sz w:val="16"/>
                <w:szCs w:val="16"/>
              </w:rPr>
              <w:t xml:space="preserve">19</w:t>
            </w:r>
          </w:p>
        </w:tc>
        <w:tc>
          <w:tcPr>
            <w:tcW w:type="dxa" w:w="1100"/>
            <w:tcBorders>
              <w:top w:val="single" w:color="CCCCCC" w:sz="1"/>
              <w:left w:val="single" w:color="CCCCCC" w:sz="1"/>
              <w:bottom w:val="single" w:color="CCCCCC" w:sz="1"/>
              <w:right w:val="single" w:color="CCCCCC" w:sz="1"/>
            </w:tcBorders>
            <w:shd w:fill="FFB0B0" w:val="clear"/>
            <w:tcMar>
              <w:top w:type="dxa" w:w="50"/>
              <w:left w:type="dxa" w:w="80"/>
              <w:bottom w:type="dxa" w:w="50"/>
              <w:right w:type="dxa" w:w="80"/>
            </w:tcMar>
          </w:tcPr>
          <w:p>
            <w:r>
              <w:rPr>
                <w:rFonts w:ascii="Arial" w:cs="Arial" w:eastAsia="Arial" w:hAnsi="Arial"/>
                <w:b w:val="false"/>
                <w:bCs w:val="false"/>
                <w:color w:val="CC0000"/>
                <w:sz w:val="16"/>
                <w:szCs w:val="16"/>
              </w:rPr>
              <w:t xml:space="preserve">Jul 1, 2025</w:t>
            </w:r>
          </w:p>
        </w:tc>
        <w:tc>
          <w:tcPr>
            <w:tcW w:type="dxa" w:w="2000"/>
            <w:tcBorders>
              <w:top w:val="single" w:color="CCCCCC" w:sz="1"/>
              <w:left w:val="single" w:color="CCCCCC" w:sz="1"/>
              <w:bottom w:val="single" w:color="CCCCCC" w:sz="1"/>
              <w:right w:val="single" w:color="CCCCCC" w:sz="1"/>
            </w:tcBorders>
            <w:shd w:fill="FFB0B0" w:val="clear"/>
            <w:tcMar>
              <w:top w:type="dxa" w:w="45"/>
              <w:left w:type="dxa" w:w="80"/>
              <w:bottom w:type="dxa" w:w="45"/>
              <w:right w:type="dxa" w:w="80"/>
            </w:tcMar>
          </w:tcPr>
          <w:p>
            <w:hyperlink w:history="1" r:id="rIdix_xvcwo0pkaewnptirry">
              <w:r>
                <w:rPr>
                  <w:rFonts w:ascii="Courier New" w:cs="Courier New" w:eastAsia="Courier New" w:hAnsi="Courier New"/>
                  <w:color w:val="0563C1"/>
                  <w:sz w:val="13"/>
                  <w:szCs w:val="13"/>
                  <w:u w:val="single"/>
                </w:rPr>
                <w:t xml:space="preserve">newsletter-19</w:t>
              </w:r>
            </w:hyperlink>
          </w:p>
        </w:tc>
        <w:tc>
          <w:tcPr>
            <w:tcW w:type="dxa" w:w="1300"/>
            <w:tcBorders>
              <w:top w:val="single" w:color="CCCCCC" w:sz="1"/>
              <w:left w:val="single" w:color="CCCCCC" w:sz="1"/>
              <w:bottom w:val="single" w:color="CCCCCC" w:sz="1"/>
              <w:right w:val="single" w:color="CCCCCC" w:sz="1"/>
            </w:tcBorders>
            <w:shd w:fill="FFB0B0" w:val="clear"/>
            <w:tcMar>
              <w:top w:type="dxa" w:w="50"/>
              <w:left w:type="dxa" w:w="80"/>
              <w:bottom w:type="dxa" w:w="50"/>
              <w:right w:type="dxa" w:w="80"/>
            </w:tcMar>
          </w:tcPr>
          <w:p>
            <w:r>
              <w:rPr>
                <w:rFonts w:ascii="Arial" w:cs="Arial" w:eastAsia="Arial" w:hAnsi="Arial"/>
                <w:b/>
                <w:bCs/>
                <w:color w:val="CC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B0B0" w:val="clear"/>
            <w:tcMar>
              <w:top w:type="dxa" w:w="50"/>
              <w:left w:type="dxa" w:w="80"/>
              <w:bottom w:type="dxa" w:w="50"/>
              <w:right w:type="dxa" w:w="80"/>
            </w:tcMar>
          </w:tcPr>
          <w:p>
            <w:r>
              <w:rPr>
                <w:rFonts w:ascii="Arial" w:cs="Arial" w:eastAsia="Arial" w:hAnsi="Arial"/>
                <w:b/>
                <w:bCs/>
                <w:color w:val="CC0000"/>
                <w:sz w:val="16"/>
                <w:szCs w:val="16"/>
              </w:rPr>
              <w:t xml:space="preserve">★ NOT INDEXED — PAID AD DEC 2025</w:t>
            </w:r>
          </w:p>
        </w:tc>
        <w:tc>
          <w:tcPr>
            <w:tcW w:type="dxa" w:w="3200"/>
            <w:tcBorders>
              <w:top w:val="single" w:color="CCCCCC" w:sz="1"/>
              <w:left w:val="single" w:color="CCCCCC" w:sz="1"/>
              <w:bottom w:val="single" w:color="CCCCCC" w:sz="1"/>
              <w:right w:val="single" w:color="CCCCCC" w:sz="1"/>
            </w:tcBorders>
            <w:shd w:fill="FFB0B0" w:val="clear"/>
            <w:tcMar>
              <w:top w:type="dxa" w:w="50"/>
              <w:left w:type="dxa" w:w="80"/>
              <w:bottom w:type="dxa" w:w="50"/>
              <w:right w:type="dxa" w:w="80"/>
            </w:tcMar>
          </w:tcPr>
          <w:p>
            <w:r>
              <w:rPr>
                <w:rFonts w:ascii="Arial" w:cs="Arial" w:eastAsia="Arial" w:hAnsi="Arial"/>
                <w:b/>
                <w:bCs/>
                <w:color w:val="CC0000"/>
                <w:sz w:val="16"/>
                <w:szCs w:val="16"/>
              </w:rPr>
              <w:t xml:space="preserve">ANOMALY: GA4 timestamp = Dec 28 2025</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20</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Jul 8,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3wofs-gkcfiqfatsszacn">
              <w:r>
                <w:rPr>
                  <w:rFonts w:ascii="Courier New" w:cs="Courier New" w:eastAsia="Courier New" w:hAnsi="Courier New"/>
                  <w:color w:val="0563C1"/>
                  <w:sz w:val="13"/>
                  <w:szCs w:val="13"/>
                  <w:u w:val="single"/>
                </w:rPr>
                <w:t xml:space="preserve">newsletter-20</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Anomaly window</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21</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Jul 15,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missjjy8fl39zpthxkuh-">
              <w:r>
                <w:rPr>
                  <w:rFonts w:ascii="Courier New" w:cs="Courier New" w:eastAsia="Courier New" w:hAnsi="Courier New"/>
                  <w:color w:val="0563C1"/>
                  <w:sz w:val="13"/>
                  <w:szCs w:val="13"/>
                  <w:u w:val="single"/>
                </w:rPr>
                <w:t xml:space="preserve">newsletter-21</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Anomaly window</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22</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Jul 22,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qxwripm3h-wxsedwgtdch">
              <w:r>
                <w:rPr>
                  <w:rFonts w:ascii="Courier New" w:cs="Courier New" w:eastAsia="Courier New" w:hAnsi="Courier New"/>
                  <w:color w:val="0563C1"/>
                  <w:sz w:val="13"/>
                  <w:szCs w:val="13"/>
                  <w:u w:val="single"/>
                </w:rPr>
                <w:t xml:space="preserve">newsletter-22</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Anomaly window closes</w:t>
            </w:r>
          </w:p>
        </w:tc>
      </w:tr>
      <w:tr>
        <w:tc>
          <w:tcPr>
            <w:tcW w:type="dxa" w:w="4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2E5090"/>
                <w:sz w:val="16"/>
                <w:szCs w:val="16"/>
              </w:rPr>
              <w:t xml:space="preserve">23</w:t>
            </w:r>
          </w:p>
        </w:tc>
        <w:tc>
          <w:tcPr>
            <w:tcW w:type="dxa" w:w="11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Jul 29, 2025</w:t>
            </w:r>
          </w:p>
        </w:tc>
        <w:tc>
          <w:tcPr>
            <w:tcW w:type="dxa" w:w="2000"/>
            <w:tcBorders>
              <w:top w:val="single" w:color="CCCCCC" w:sz="1"/>
              <w:left w:val="single" w:color="CCCCCC" w:sz="1"/>
              <w:bottom w:val="single" w:color="CCCCCC" w:sz="1"/>
              <w:right w:val="single" w:color="CCCCCC" w:sz="1"/>
            </w:tcBorders>
            <w:shd w:fill="E8FFE8" w:val="clear"/>
            <w:tcMar>
              <w:top w:type="dxa" w:w="45"/>
              <w:left w:type="dxa" w:w="80"/>
              <w:bottom w:type="dxa" w:w="45"/>
              <w:right w:type="dxa" w:w="80"/>
            </w:tcMar>
          </w:tcPr>
          <w:p>
            <w:hyperlink w:history="1" r:id="rIdmsgxuhyvkcd79hahyfqbe">
              <w:r>
                <w:rPr>
                  <w:rFonts w:ascii="Courier New" w:cs="Courier New" w:eastAsia="Courier New" w:hAnsi="Courier New"/>
                  <w:color w:val="0563C1"/>
                  <w:sz w:val="13"/>
                  <w:szCs w:val="13"/>
                  <w:u w:val="single"/>
                </w:rPr>
                <w:t xml:space="preserve">newsletter-23</w:t>
              </w:r>
            </w:hyperlink>
          </w:p>
        </w:tc>
        <w:tc>
          <w:tcPr>
            <w:tcW w:type="dxa" w:w="13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Jul 30, 2025</w:t>
            </w:r>
          </w:p>
        </w:tc>
        <w:tc>
          <w:tcPr>
            <w:tcW w:type="dxa" w:w="136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 — 1d lag</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24</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Aug 5,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njpdkhpzbbxbizh2qarrz">
              <w:r>
                <w:rPr>
                  <w:rFonts w:ascii="Courier New" w:cs="Courier New" w:eastAsia="Courier New" w:hAnsi="Courier New"/>
                  <w:color w:val="0563C1"/>
                  <w:sz w:val="13"/>
                  <w:szCs w:val="13"/>
                  <w:u w:val="single"/>
                </w:rPr>
                <w:t xml:space="preserve">newsletter-24</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25</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Aug 12,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jxa9ta9zkjc4ffevnjdgx">
              <w:r>
                <w:rPr>
                  <w:rFonts w:ascii="Courier New" w:cs="Courier New" w:eastAsia="Courier New" w:hAnsi="Courier New"/>
                  <w:color w:val="0563C1"/>
                  <w:sz w:val="13"/>
                  <w:szCs w:val="13"/>
                  <w:u w:val="single"/>
                </w:rPr>
                <w:t xml:space="preserve">newsletter-25</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26</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Aug 19,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atmkztg2aczx73mxe4s3k">
              <w:r>
                <w:rPr>
                  <w:rFonts w:ascii="Courier New" w:cs="Courier New" w:eastAsia="Courier New" w:hAnsi="Courier New"/>
                  <w:color w:val="0563C1"/>
                  <w:sz w:val="13"/>
                  <w:szCs w:val="13"/>
                  <w:u w:val="single"/>
                </w:rPr>
                <w:t xml:space="preserve">newsletter-26</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2E5090"/>
                <w:sz w:val="16"/>
                <w:szCs w:val="16"/>
              </w:rPr>
              <w:t xml:space="preserve">27</w:t>
            </w:r>
          </w:p>
        </w:tc>
        <w:tc>
          <w:tcPr>
            <w:tcW w:type="dxa" w:w="11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Aug 26, 2025</w:t>
            </w:r>
          </w:p>
        </w:tc>
        <w:tc>
          <w:tcPr>
            <w:tcW w:type="dxa" w:w="2000"/>
            <w:tcBorders>
              <w:top w:val="single" w:color="CCCCCC" w:sz="1"/>
              <w:left w:val="single" w:color="CCCCCC" w:sz="1"/>
              <w:bottom w:val="single" w:color="CCCCCC" w:sz="1"/>
              <w:right w:val="single" w:color="CCCCCC" w:sz="1"/>
            </w:tcBorders>
            <w:shd w:fill="E8FFE8" w:val="clear"/>
            <w:tcMar>
              <w:top w:type="dxa" w:w="45"/>
              <w:left w:type="dxa" w:w="80"/>
              <w:bottom w:type="dxa" w:w="45"/>
              <w:right w:type="dxa" w:w="80"/>
            </w:tcMar>
          </w:tcPr>
          <w:p>
            <w:hyperlink w:history="1" r:id="rIdmtm82klyuv1ksef96bzro">
              <w:r>
                <w:rPr>
                  <w:rFonts w:ascii="Courier New" w:cs="Courier New" w:eastAsia="Courier New" w:hAnsi="Courier New"/>
                  <w:color w:val="0563C1"/>
                  <w:sz w:val="13"/>
                  <w:szCs w:val="13"/>
                  <w:u w:val="single"/>
                </w:rPr>
                <w:t xml:space="preserve">newsletter-27</w:t>
              </w:r>
            </w:hyperlink>
          </w:p>
        </w:tc>
        <w:tc>
          <w:tcPr>
            <w:tcW w:type="dxa" w:w="13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Aug 30, 2025</w:t>
            </w:r>
          </w:p>
        </w:tc>
        <w:tc>
          <w:tcPr>
            <w:tcW w:type="dxa" w:w="136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 — 4d lag</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28</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Sep 2,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_lx98sl-31r3-nt_amknr">
              <w:r>
                <w:rPr>
                  <w:rFonts w:ascii="Courier New" w:cs="Courier New" w:eastAsia="Courier New" w:hAnsi="Courier New"/>
                  <w:color w:val="0563C1"/>
                  <w:sz w:val="13"/>
                  <w:szCs w:val="13"/>
                  <w:u w:val="single"/>
                </w:rPr>
                <w:t xml:space="preserve">newsletter-28</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29</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Sep 9,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0dcahxbsu614tgn0xp-fz">
              <w:r>
                <w:rPr>
                  <w:rFonts w:ascii="Courier New" w:cs="Courier New" w:eastAsia="Courier New" w:hAnsi="Courier New"/>
                  <w:color w:val="0563C1"/>
                  <w:sz w:val="13"/>
                  <w:szCs w:val="13"/>
                  <w:u w:val="single"/>
                </w:rPr>
                <w:t xml:space="preserve">newsletter-29</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30</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Sep 16,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0yzjg2klqm_lzogc87vgs">
              <w:r>
                <w:rPr>
                  <w:rFonts w:ascii="Courier New" w:cs="Courier New" w:eastAsia="Courier New" w:hAnsi="Courier New"/>
                  <w:color w:val="0563C1"/>
                  <w:sz w:val="13"/>
                  <w:szCs w:val="13"/>
                  <w:u w:val="single"/>
                </w:rPr>
                <w:t xml:space="preserve">newsletter-30</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31</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Sep 23,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dzyt6n7sayllqdbcoe2un">
              <w:r>
                <w:rPr>
                  <w:rFonts w:ascii="Courier New" w:cs="Courier New" w:eastAsia="Courier New" w:hAnsi="Courier New"/>
                  <w:color w:val="0563C1"/>
                  <w:sz w:val="13"/>
                  <w:szCs w:val="13"/>
                  <w:u w:val="single"/>
                </w:rPr>
                <w:t xml:space="preserve">newsletter-31</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2E5090"/>
                <w:sz w:val="16"/>
                <w:szCs w:val="16"/>
              </w:rPr>
              <w:t xml:space="preserve">32</w:t>
            </w:r>
          </w:p>
        </w:tc>
        <w:tc>
          <w:tcPr>
            <w:tcW w:type="dxa" w:w="11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Sep 30, 2025</w:t>
            </w:r>
          </w:p>
        </w:tc>
        <w:tc>
          <w:tcPr>
            <w:tcW w:type="dxa" w:w="2000"/>
            <w:tcBorders>
              <w:top w:val="single" w:color="CCCCCC" w:sz="1"/>
              <w:left w:val="single" w:color="CCCCCC" w:sz="1"/>
              <w:bottom w:val="single" w:color="CCCCCC" w:sz="1"/>
              <w:right w:val="single" w:color="CCCCCC" w:sz="1"/>
            </w:tcBorders>
            <w:shd w:fill="C0FFC0" w:val="clear"/>
            <w:tcMar>
              <w:top w:type="dxa" w:w="45"/>
              <w:left w:type="dxa" w:w="80"/>
              <w:bottom w:type="dxa" w:w="45"/>
              <w:right w:type="dxa" w:w="80"/>
            </w:tcMar>
          </w:tcPr>
          <w:p>
            <w:hyperlink w:history="1" r:id="rIdmo7jgnfmn-mxav72hvzbg">
              <w:r>
                <w:rPr>
                  <w:rFonts w:ascii="Courier New" w:cs="Courier New" w:eastAsia="Courier New" w:hAnsi="Courier New"/>
                  <w:color w:val="0563C1"/>
                  <w:sz w:val="13"/>
                  <w:szCs w:val="13"/>
                  <w:u w:val="single"/>
                </w:rPr>
                <w:t xml:space="preserve">newsletter-32</w:t>
              </w:r>
            </w:hyperlink>
          </w:p>
        </w:tc>
        <w:tc>
          <w:tcPr>
            <w:tcW w:type="dxa" w:w="13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Oct 1, 2025</w:t>
            </w:r>
          </w:p>
        </w:tc>
        <w:tc>
          <w:tcPr>
            <w:tcW w:type="dxa" w:w="136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33</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Oct 7,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wg4le35-rolzndxxjawof">
              <w:r>
                <w:rPr>
                  <w:rFonts w:ascii="Courier New" w:cs="Courier New" w:eastAsia="Courier New" w:hAnsi="Courier New"/>
                  <w:color w:val="0563C1"/>
                  <w:sz w:val="13"/>
                  <w:szCs w:val="13"/>
                  <w:u w:val="single"/>
                </w:rPr>
                <w:t xml:space="preserve">newsletter-33</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2E5090"/>
                <w:sz w:val="16"/>
                <w:szCs w:val="16"/>
              </w:rPr>
              <w:t xml:space="preserve">34</w:t>
            </w:r>
          </w:p>
        </w:tc>
        <w:tc>
          <w:tcPr>
            <w:tcW w:type="dxa" w:w="11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Oct 14, 2025</w:t>
            </w:r>
          </w:p>
        </w:tc>
        <w:tc>
          <w:tcPr>
            <w:tcW w:type="dxa" w:w="2000"/>
            <w:tcBorders>
              <w:top w:val="single" w:color="CCCCCC" w:sz="1"/>
              <w:left w:val="single" w:color="CCCCCC" w:sz="1"/>
              <w:bottom w:val="single" w:color="CCCCCC" w:sz="1"/>
              <w:right w:val="single" w:color="CCCCCC" w:sz="1"/>
            </w:tcBorders>
            <w:shd w:fill="C0FFC0" w:val="clear"/>
            <w:tcMar>
              <w:top w:type="dxa" w:w="45"/>
              <w:left w:type="dxa" w:w="80"/>
              <w:bottom w:type="dxa" w:w="45"/>
              <w:right w:type="dxa" w:w="80"/>
            </w:tcMar>
          </w:tcPr>
          <w:p>
            <w:hyperlink w:history="1" r:id="rIdsktvstzx90fe3qd55kkfx">
              <w:r>
                <w:rPr>
                  <w:rFonts w:ascii="Courier New" w:cs="Courier New" w:eastAsia="Courier New" w:hAnsi="Courier New"/>
                  <w:color w:val="0563C1"/>
                  <w:sz w:val="13"/>
                  <w:szCs w:val="13"/>
                  <w:u w:val="single"/>
                </w:rPr>
                <w:t xml:space="preserve">newsletter-34</w:t>
              </w:r>
            </w:hyperlink>
          </w:p>
        </w:tc>
        <w:tc>
          <w:tcPr>
            <w:tcW w:type="dxa" w:w="13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Oct 15, 2025</w:t>
            </w:r>
          </w:p>
        </w:tc>
        <w:tc>
          <w:tcPr>
            <w:tcW w:type="dxa" w:w="136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35</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Oct 21,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0gl1rrxjigi-2yzwg8dkj">
              <w:r>
                <w:rPr>
                  <w:rFonts w:ascii="Courier New" w:cs="Courier New" w:eastAsia="Courier New" w:hAnsi="Courier New"/>
                  <w:color w:val="0563C1"/>
                  <w:sz w:val="13"/>
                  <w:szCs w:val="13"/>
                  <w:u w:val="single"/>
                </w:rPr>
                <w:t xml:space="preserve">newsletter-35</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36</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Oct 28,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xxf_s07lu9pe7lapx1k9j">
              <w:r>
                <w:rPr>
                  <w:rFonts w:ascii="Courier New" w:cs="Courier New" w:eastAsia="Courier New" w:hAnsi="Courier New"/>
                  <w:color w:val="0563C1"/>
                  <w:sz w:val="13"/>
                  <w:szCs w:val="13"/>
                  <w:u w:val="single"/>
                </w:rPr>
                <w:t xml:space="preserve">newsletter-36</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37</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Nov 4,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i6lojyl-w_sckpr0fligq">
              <w:r>
                <w:rPr>
                  <w:rFonts w:ascii="Courier New" w:cs="Courier New" w:eastAsia="Courier New" w:hAnsi="Courier New"/>
                  <w:color w:val="0563C1"/>
                  <w:sz w:val="13"/>
                  <w:szCs w:val="13"/>
                  <w:u w:val="single"/>
                </w:rPr>
                <w:t xml:space="preserve">newsletter-37</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38</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Nov 11,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5oaun9znvnj9ogx6p2ah">
              <w:r>
                <w:rPr>
                  <w:rFonts w:ascii="Courier New" w:cs="Courier New" w:eastAsia="Courier New" w:hAnsi="Courier New"/>
                  <w:color w:val="0563C1"/>
                  <w:sz w:val="13"/>
                  <w:szCs w:val="13"/>
                  <w:u w:val="single"/>
                </w:rPr>
                <w:t xml:space="preserve">newsletter-38</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39</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Nov 18,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vell1lccilg8f-h9k9j8t">
              <w:r>
                <w:rPr>
                  <w:rFonts w:ascii="Courier New" w:cs="Courier New" w:eastAsia="Courier New" w:hAnsi="Courier New"/>
                  <w:color w:val="0563C1"/>
                  <w:sz w:val="13"/>
                  <w:szCs w:val="13"/>
                  <w:u w:val="single"/>
                </w:rPr>
                <w:t xml:space="preserve">newsletter-39</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40</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Nov 25,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4-ln7iqr8n3-oynnhf_6k">
              <w:r>
                <w:rPr>
                  <w:rFonts w:ascii="Courier New" w:cs="Courier New" w:eastAsia="Courier New" w:hAnsi="Courier New"/>
                  <w:color w:val="0563C1"/>
                  <w:sz w:val="13"/>
                  <w:szCs w:val="13"/>
                  <w:u w:val="single"/>
                </w:rPr>
                <w:t xml:space="preserve">newsletter-40</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41</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Dec 2,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xqlqti--oykc96tqtit-w">
              <w:r>
                <w:rPr>
                  <w:rFonts w:ascii="Courier New" w:cs="Courier New" w:eastAsia="Courier New" w:hAnsi="Courier New"/>
                  <w:color w:val="0563C1"/>
                  <w:sz w:val="13"/>
                  <w:szCs w:val="13"/>
                  <w:u w:val="single"/>
                </w:rPr>
                <w:t xml:space="preserve">newsletter-41</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42</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Dec 9, 2025</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darirgztiyqmulcvafwwp">
              <w:r>
                <w:rPr>
                  <w:rFonts w:ascii="Courier New" w:cs="Courier New" w:eastAsia="Courier New" w:hAnsi="Courier New"/>
                  <w:color w:val="0563C1"/>
                  <w:sz w:val="13"/>
                  <w:szCs w:val="13"/>
                  <w:u w:val="single"/>
                </w:rPr>
                <w:t xml:space="preserve">newsletter-42</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43</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Dec 16,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xnaxpccrmcr0cal2tfleo">
              <w:r>
                <w:rPr>
                  <w:rFonts w:ascii="Courier New" w:cs="Courier New" w:eastAsia="Courier New" w:hAnsi="Courier New"/>
                  <w:color w:val="0563C1"/>
                  <w:sz w:val="13"/>
                  <w:szCs w:val="13"/>
                  <w:u w:val="single"/>
                </w:rPr>
                <w:t xml:space="preserve">newsletter-43</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2E5090"/>
                <w:sz w:val="16"/>
                <w:szCs w:val="16"/>
              </w:rPr>
              <w:t xml:space="preserve">44</w:t>
            </w:r>
          </w:p>
        </w:tc>
        <w:tc>
          <w:tcPr>
            <w:tcW w:type="dxa" w:w="11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Dec 23, 2025</w:t>
            </w:r>
          </w:p>
        </w:tc>
        <w:tc>
          <w:tcPr>
            <w:tcW w:type="dxa" w:w="2000"/>
            <w:tcBorders>
              <w:top w:val="single" w:color="CCCCCC" w:sz="1"/>
              <w:left w:val="single" w:color="CCCCCC" w:sz="1"/>
              <w:bottom w:val="single" w:color="CCCCCC" w:sz="1"/>
              <w:right w:val="single" w:color="CCCCCC" w:sz="1"/>
            </w:tcBorders>
            <w:shd w:fill="C0FFC0" w:val="clear"/>
            <w:tcMar>
              <w:top w:type="dxa" w:w="45"/>
              <w:left w:type="dxa" w:w="80"/>
              <w:bottom w:type="dxa" w:w="45"/>
              <w:right w:type="dxa" w:w="80"/>
            </w:tcMar>
          </w:tcPr>
          <w:p>
            <w:hyperlink w:history="1" r:id="rIdp7mnpqqfwazwwwusbzeia">
              <w:r>
                <w:rPr>
                  <w:rFonts w:ascii="Courier New" w:cs="Courier New" w:eastAsia="Courier New" w:hAnsi="Courier New"/>
                  <w:color w:val="0563C1"/>
                  <w:sz w:val="13"/>
                  <w:szCs w:val="13"/>
                  <w:u w:val="single"/>
                </w:rPr>
                <w:t xml:space="preserve">newsletter-44</w:t>
              </w:r>
            </w:hyperlink>
          </w:p>
        </w:tc>
        <w:tc>
          <w:tcPr>
            <w:tcW w:type="dxa" w:w="13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Dec 23, 2025</w:t>
            </w:r>
          </w:p>
        </w:tc>
        <w:tc>
          <w:tcPr>
            <w:tcW w:type="dxa" w:w="136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2E5090"/>
                <w:sz w:val="16"/>
                <w:szCs w:val="16"/>
              </w:rPr>
              <w:t xml:space="preserve">45</w:t>
            </w:r>
          </w:p>
        </w:tc>
        <w:tc>
          <w:tcPr>
            <w:tcW w:type="dxa" w:w="11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Dec 30, 2025</w:t>
            </w:r>
          </w:p>
        </w:tc>
        <w:tc>
          <w:tcPr>
            <w:tcW w:type="dxa" w:w="2000"/>
            <w:tcBorders>
              <w:top w:val="single" w:color="CCCCCC" w:sz="1"/>
              <w:left w:val="single" w:color="CCCCCC" w:sz="1"/>
              <w:bottom w:val="single" w:color="CCCCCC" w:sz="1"/>
              <w:right w:val="single" w:color="CCCCCC" w:sz="1"/>
            </w:tcBorders>
            <w:shd w:fill="FFFFFF" w:val="clear"/>
            <w:tcMar>
              <w:top w:type="dxa" w:w="45"/>
              <w:left w:type="dxa" w:w="80"/>
              <w:bottom w:type="dxa" w:w="45"/>
              <w:right w:type="dxa" w:w="80"/>
            </w:tcMar>
          </w:tcPr>
          <w:p>
            <w:hyperlink w:history="1" r:id="rIdsibjnliewiwvplddx9fp6">
              <w:r>
                <w:rPr>
                  <w:rFonts w:ascii="Courier New" w:cs="Courier New" w:eastAsia="Courier New" w:hAnsi="Courier New"/>
                  <w:color w:val="0563C1"/>
                  <w:sz w:val="13"/>
                  <w:szCs w:val="13"/>
                  <w:u w:val="single"/>
                </w:rPr>
                <w:t xml:space="preserve">newsletter-45</w:t>
              </w:r>
            </w:hyperlink>
          </w:p>
        </w:tc>
        <w:tc>
          <w:tcPr>
            <w:tcW w:type="dxa" w:w="13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2E5090"/>
                <w:sz w:val="16"/>
                <w:szCs w:val="16"/>
              </w:rPr>
              <w:t xml:space="preserve">46</w:t>
            </w:r>
          </w:p>
        </w:tc>
        <w:tc>
          <w:tcPr>
            <w:tcW w:type="dxa" w:w="11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Jan 6, 2026</w:t>
            </w:r>
          </w:p>
        </w:tc>
        <w:tc>
          <w:tcPr>
            <w:tcW w:type="dxa" w:w="2000"/>
            <w:tcBorders>
              <w:top w:val="single" w:color="CCCCCC" w:sz="1"/>
              <w:left w:val="single" w:color="CCCCCC" w:sz="1"/>
              <w:bottom w:val="single" w:color="CCCCCC" w:sz="1"/>
              <w:right w:val="single" w:color="CCCCCC" w:sz="1"/>
            </w:tcBorders>
            <w:shd w:fill="F5F5F5" w:val="clear"/>
            <w:tcMar>
              <w:top w:type="dxa" w:w="45"/>
              <w:left w:type="dxa" w:w="80"/>
              <w:bottom w:type="dxa" w:w="45"/>
              <w:right w:type="dxa" w:w="80"/>
            </w:tcMar>
          </w:tcPr>
          <w:p>
            <w:hyperlink w:history="1" r:id="rIdwzdjwriziyfowlaebo5op">
              <w:r>
                <w:rPr>
                  <w:rFonts w:ascii="Courier New" w:cs="Courier New" w:eastAsia="Courier New" w:hAnsi="Courier New"/>
                  <w:color w:val="0563C1"/>
                  <w:sz w:val="13"/>
                  <w:szCs w:val="13"/>
                  <w:u w:val="single"/>
                </w:rPr>
                <w:t xml:space="preserve">newsletter-46</w:t>
              </w:r>
            </w:hyperlink>
          </w:p>
        </w:tc>
        <w:tc>
          <w:tcPr>
            <w:tcW w:type="dxa" w:w="13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000000"/>
                <w:sz w:val="16"/>
                <w:szCs w:val="16"/>
              </w:rPr>
              <w:t xml:space="preserve">No result</w:t>
            </w:r>
          </w:p>
        </w:tc>
        <w:tc>
          <w:tcPr>
            <w:tcW w:type="dxa" w:w="136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B8860B"/>
                <w:sz w:val="16"/>
                <w:szCs w:val="16"/>
              </w:rPr>
              <w:t xml:space="preserve">Not indexed</w:t>
            </w:r>
          </w:p>
        </w:tc>
        <w:tc>
          <w:tcPr>
            <w:tcW w:type="dxa" w:w="3200"/>
            <w:tcBorders>
              <w:top w:val="single" w:color="CCCCCC" w:sz="1"/>
              <w:left w:val="single" w:color="CCCCCC" w:sz="1"/>
              <w:bottom w:val="single" w:color="CCCCCC" w:sz="1"/>
              <w:right w:val="single" w:color="CCCCCC" w:sz="1"/>
            </w:tcBorders>
            <w:shd w:fill="F5F5F5" w:val="clear"/>
            <w:tcMar>
              <w:top w:type="dxa" w:w="50"/>
              <w:left w:type="dxa" w:w="80"/>
              <w:bottom w:type="dxa" w:w="50"/>
              <w:right w:type="dxa" w:w="80"/>
            </w:tcMar>
          </w:tcPr>
          <w:p>
            <w:r>
              <w:rPr>
                <w:rFonts w:ascii="Arial" w:cs="Arial" w:eastAsia="Arial" w:hAnsi="Arial"/>
                <w:b w:val="false"/>
                <w:bCs w:val="false"/>
                <w:color w:val="444444"/>
                <w:sz w:val="16"/>
                <w:szCs w:val="16"/>
              </w:rPr>
              <w:t xml:space="preserve">Gap</w:t>
            </w:r>
          </w:p>
        </w:tc>
      </w:tr>
      <w:tr>
        <w:tc>
          <w:tcPr>
            <w:tcW w:type="dxa" w:w="4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2E5090"/>
                <w:sz w:val="16"/>
                <w:szCs w:val="16"/>
              </w:rPr>
              <w:t xml:space="preserve">47</w:t>
            </w:r>
          </w:p>
        </w:tc>
        <w:tc>
          <w:tcPr>
            <w:tcW w:type="dxa" w:w="11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Jan 13, 2026</w:t>
            </w:r>
          </w:p>
        </w:tc>
        <w:tc>
          <w:tcPr>
            <w:tcW w:type="dxa" w:w="2000"/>
            <w:tcBorders>
              <w:top w:val="single" w:color="CCCCCC" w:sz="1"/>
              <w:left w:val="single" w:color="CCCCCC" w:sz="1"/>
              <w:bottom w:val="single" w:color="CCCCCC" w:sz="1"/>
              <w:right w:val="single" w:color="CCCCCC" w:sz="1"/>
            </w:tcBorders>
            <w:shd w:fill="E8FFE8" w:val="clear"/>
            <w:tcMar>
              <w:top w:type="dxa" w:w="45"/>
              <w:left w:type="dxa" w:w="80"/>
              <w:bottom w:type="dxa" w:w="45"/>
              <w:right w:type="dxa" w:w="80"/>
            </w:tcMar>
          </w:tcPr>
          <w:p>
            <w:hyperlink w:history="1" r:id="rId13wi3m3qeygukqcp9s0ba">
              <w:r>
                <w:rPr>
                  <w:rFonts w:ascii="Courier New" w:cs="Courier New" w:eastAsia="Courier New" w:hAnsi="Courier New"/>
                  <w:color w:val="0563C1"/>
                  <w:sz w:val="13"/>
                  <w:szCs w:val="13"/>
                  <w:u w:val="single"/>
                </w:rPr>
                <w:t xml:space="preserve">newsletter-47</w:t>
              </w:r>
            </w:hyperlink>
          </w:p>
        </w:tc>
        <w:tc>
          <w:tcPr>
            <w:tcW w:type="dxa" w:w="13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Jan 14, 2026</w:t>
            </w:r>
          </w:p>
        </w:tc>
        <w:tc>
          <w:tcPr>
            <w:tcW w:type="dxa" w:w="136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w:t>
            </w:r>
          </w:p>
        </w:tc>
      </w:tr>
      <w:tr>
        <w:tc>
          <w:tcPr>
            <w:tcW w:type="dxa" w:w="4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2E5090"/>
                <w:sz w:val="16"/>
                <w:szCs w:val="16"/>
              </w:rPr>
              <w:t xml:space="preserve">48</w:t>
            </w:r>
          </w:p>
        </w:tc>
        <w:tc>
          <w:tcPr>
            <w:tcW w:type="dxa" w:w="11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Jan 20, 2026</w:t>
            </w:r>
          </w:p>
        </w:tc>
        <w:tc>
          <w:tcPr>
            <w:tcW w:type="dxa" w:w="2000"/>
            <w:tcBorders>
              <w:top w:val="single" w:color="CCCCCC" w:sz="1"/>
              <w:left w:val="single" w:color="CCCCCC" w:sz="1"/>
              <w:bottom w:val="single" w:color="CCCCCC" w:sz="1"/>
              <w:right w:val="single" w:color="CCCCCC" w:sz="1"/>
            </w:tcBorders>
            <w:shd w:fill="C0FFC0" w:val="clear"/>
            <w:tcMar>
              <w:top w:type="dxa" w:w="45"/>
              <w:left w:type="dxa" w:w="80"/>
              <w:bottom w:type="dxa" w:w="45"/>
              <w:right w:type="dxa" w:w="80"/>
            </w:tcMar>
          </w:tcPr>
          <w:p>
            <w:hyperlink w:history="1" r:id="rIdfr8qe_86kjqufczpnamft">
              <w:r>
                <w:rPr>
                  <w:rFonts w:ascii="Courier New" w:cs="Courier New" w:eastAsia="Courier New" w:hAnsi="Courier New"/>
                  <w:color w:val="0563C1"/>
                  <w:sz w:val="13"/>
                  <w:szCs w:val="13"/>
                  <w:u w:val="single"/>
                </w:rPr>
                <w:t xml:space="preserve">newsletter-48</w:t>
              </w:r>
            </w:hyperlink>
          </w:p>
        </w:tc>
        <w:tc>
          <w:tcPr>
            <w:tcW w:type="dxa" w:w="13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0000"/>
                <w:sz w:val="16"/>
                <w:szCs w:val="16"/>
              </w:rPr>
              <w:t xml:space="preserve">Jan 21, 2026</w:t>
            </w:r>
          </w:p>
        </w:tc>
        <w:tc>
          <w:tcPr>
            <w:tcW w:type="dxa" w:w="136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C0FFC0"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w:t>
            </w:r>
          </w:p>
        </w:tc>
      </w:tr>
      <w:tr>
        <w:tc>
          <w:tcPr>
            <w:tcW w:type="dxa" w:w="4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2E5090"/>
                <w:sz w:val="16"/>
                <w:szCs w:val="16"/>
              </w:rPr>
              <w:t xml:space="preserve">49</w:t>
            </w:r>
          </w:p>
        </w:tc>
        <w:tc>
          <w:tcPr>
            <w:tcW w:type="dxa" w:w="11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Jan 27, 2026</w:t>
            </w:r>
          </w:p>
        </w:tc>
        <w:tc>
          <w:tcPr>
            <w:tcW w:type="dxa" w:w="2000"/>
            <w:tcBorders>
              <w:top w:val="single" w:color="CCCCCC" w:sz="1"/>
              <w:left w:val="single" w:color="CCCCCC" w:sz="1"/>
              <w:bottom w:val="single" w:color="CCCCCC" w:sz="1"/>
              <w:right w:val="single" w:color="CCCCCC" w:sz="1"/>
            </w:tcBorders>
            <w:shd w:fill="E8FFE8" w:val="clear"/>
            <w:tcMar>
              <w:top w:type="dxa" w:w="45"/>
              <w:left w:type="dxa" w:w="80"/>
              <w:bottom w:type="dxa" w:w="45"/>
              <w:right w:type="dxa" w:w="80"/>
            </w:tcMar>
          </w:tcPr>
          <w:p>
            <w:hyperlink w:history="1" r:id="rIdgpmvhc07qhhdtf8kgv8ij">
              <w:r>
                <w:rPr>
                  <w:rFonts w:ascii="Courier New" w:cs="Courier New" w:eastAsia="Courier New" w:hAnsi="Courier New"/>
                  <w:color w:val="0563C1"/>
                  <w:sz w:val="13"/>
                  <w:szCs w:val="13"/>
                  <w:u w:val="single"/>
                </w:rPr>
                <w:t xml:space="preserve">newsletter-49</w:t>
              </w:r>
            </w:hyperlink>
          </w:p>
        </w:tc>
        <w:tc>
          <w:tcPr>
            <w:tcW w:type="dxa" w:w="13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0000"/>
                <w:sz w:val="16"/>
                <w:szCs w:val="16"/>
              </w:rPr>
              <w:t xml:space="preserve">Jan 28, 2026</w:t>
            </w:r>
          </w:p>
        </w:tc>
        <w:tc>
          <w:tcPr>
            <w:tcW w:type="dxa" w:w="136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006600"/>
                <w:sz w:val="16"/>
                <w:szCs w:val="16"/>
              </w:rPr>
              <w:t xml:space="preserve">✓ Indexed</w:t>
            </w:r>
          </w:p>
        </w:tc>
        <w:tc>
          <w:tcPr>
            <w:tcW w:type="dxa" w:w="3200"/>
            <w:tcBorders>
              <w:top w:val="single" w:color="CCCCCC" w:sz="1"/>
              <w:left w:val="single" w:color="CCCCCC" w:sz="1"/>
              <w:bottom w:val="single" w:color="CCCCCC" w:sz="1"/>
              <w:right w:val="single" w:color="CCCCCC" w:sz="1"/>
            </w:tcBorders>
            <w:shd w:fill="E8FFE8" w:val="clear"/>
            <w:tcMar>
              <w:top w:type="dxa" w:w="50"/>
              <w:left w:type="dxa" w:w="80"/>
              <w:bottom w:type="dxa" w:w="50"/>
              <w:right w:type="dxa" w:w="80"/>
            </w:tcMar>
          </w:tcPr>
          <w:p>
            <w:r>
              <w:rPr>
                <w:rFonts w:ascii="Arial" w:cs="Arial" w:eastAsia="Arial" w:hAnsi="Arial"/>
                <w:b w:val="false"/>
                <w:bCs w:val="false"/>
                <w:color w:val="444444"/>
                <w:sz w:val="16"/>
                <w:szCs w:val="16"/>
              </w:rPr>
              <w:t xml:space="preserve">Confirmed</w:t>
            </w:r>
          </w:p>
        </w:tc>
      </w:tr>
    </w:tbl>
    <w:p>
      <w:r>
        <w:br w:type="page"/>
      </w:r>
    </w:p>
    <w:p>
      <w:pPr>
        <w:pStyle w:val="Heading1"/>
        <w:pBdr>
          <w:bottom w:val="single" w:color="1F3864" w:sz="4" w:space="4"/>
        </w:pBdr>
        <w:spacing w:before="360" w:after="180"/>
      </w:pPr>
      <w:r>
        <w:rPr>
          <w:rFonts w:ascii="Arial" w:cs="Arial" w:eastAsia="Arial" w:hAnsi="Arial"/>
          <w:b/>
          <w:bCs/>
          <w:color w:val="1F3864"/>
          <w:sz w:val="32"/>
          <w:szCs w:val="32"/>
        </w:rPr>
        <w:t xml:space="preserve">4. ULTRA VERBA LUX MENTIS — SEO INJECTION &amp; IP SNIPING</w:t>
      </w:r>
    </w:p>
    <w:p>
      <w:pPr>
        <w:spacing w:before="80" w:after="80"/>
      </w:pPr>
      <w:r>
        <w:rPr>
          <w:rFonts w:ascii="Arial" w:cs="Arial" w:eastAsia="Arial" w:hAnsi="Arial"/>
          <w:sz w:val="20"/>
          <w:szCs w:val="20"/>
        </w:rPr>
        <w:t xml:space="preserve">Ultra Verba Lux Mentis (UVLM) operates at </w:t>
      </w:r>
      <w:hyperlink w:history="1" r:id="rId1asbn5h4fr8gy4ael5jgv">
        <w:r>
          <w:rPr>
            <w:rFonts w:ascii="Arial" w:cs="Arial" w:eastAsia="Arial" w:hAnsi="Arial"/>
            <w:color w:val="0563C1"/>
            <w:sz w:val="20"/>
            <w:szCs w:val="20"/>
            <w:u w:val="single"/>
          </w:rPr>
          <w:t xml:space="preserve">ultraverbaluxmentis.org</w:t>
        </w:r>
      </w:hyperlink>
      <w:r>
        <w:rPr>
          <w:rFonts w:ascii="Arial" w:cs="Arial" w:eastAsia="Arial" w:hAnsi="Arial"/>
          <w:sz w:val="20"/>
          <w:szCs w:val="20"/>
        </w:rPr>
        <w:t xml:space="preserve">. Founded by Thomas Prislac (Oregon public employee union treasurer) and Sonya Prislac. GitHub: </w:t>
      </w:r>
      <w:hyperlink w:history="1" r:id="rIdjzehx_igmzrpl_s0fqupi">
        <w:r>
          <w:rPr>
            <w:rFonts w:ascii="Arial" w:cs="Arial" w:eastAsia="Arial" w:hAnsi="Arial"/>
            <w:color w:val="0563C1"/>
            <w:sz w:val="20"/>
            <w:szCs w:val="20"/>
            <w:u w:val="single"/>
          </w:rPr>
          <w:t xml:space="preserve">github.com/pdxvoiceteacher</w:t>
        </w:r>
      </w:hyperlink>
      <w:r>
        <w:rPr>
          <w:rFonts w:ascii="Arial" w:cs="Arial" w:eastAsia="Arial" w:hAnsi="Arial"/>
          <w:sz w:val="20"/>
          <w:szCs w:val="20"/>
        </w:rPr>
        <w:t xml:space="preserve"> (User ID #13023193, est. 2013-2015). LinkedIn: </w:t>
      </w:r>
      <w:hyperlink w:history="1" r:id="rIdvnqoycrzz9hsqy0sfuuup">
        <w:r>
          <w:rPr>
            <w:rFonts w:ascii="Arial" w:cs="Arial" w:eastAsia="Arial" w:hAnsi="Arial"/>
            <w:color w:val="0563C1"/>
            <w:sz w:val="20"/>
            <w:szCs w:val="20"/>
            <w:u w:val="single"/>
          </w:rPr>
          <w:t xml:space="preserve">linkedin.com/company/ultra-verba-lux-mentis</w:t>
        </w:r>
      </w:hyperlink>
      <w:r>
        <w:rPr>
          <w:rFonts w:ascii="Arial" w:cs="Arial" w:eastAsia="Arial" w:hAnsi="Arial"/>
          <w:b/>
          <w:bCs/>
          <w:color w:val="2E5090"/>
          <w:sz w:val="17"/>
          <w:szCs w:val="17"/>
          <w:vertAlign w:val="superscript"/>
        </w:rPr>
        <w:t xml:space="preserve"> [REF-12,13]</w:t>
      </w:r>
    </w:p>
    <w:p>
      <w:pPr>
        <w:spacing w:before="40" w:after="40"/>
      </w:pPr>
    </w:p>
    <w:p>
      <w:pPr>
        <w:pStyle w:val="Heading2"/>
        <w:spacing w:before="240" w:after="120"/>
      </w:pPr>
      <w:r>
        <w:rPr>
          <w:rFonts w:ascii="Arial" w:cs="Arial" w:eastAsia="Arial" w:hAnsi="Arial"/>
          <w:b/>
          <w:bCs/>
          <w:color w:val="2E5090"/>
          <w:sz w:val="26"/>
          <w:szCs w:val="26"/>
        </w:rPr>
        <w:t xml:space="preserve">4.1 Complete ChatGPT Image Metadata — Backdating Evidence</w:t>
      </w:r>
    </w:p>
    <w:p>
      <w:pPr>
        <w:spacing w:before="80" w:after="80"/>
      </w:pPr>
      <w:r>
        <w:rPr>
          <w:rFonts w:ascii="Arial" w:cs="Arial" w:eastAsia="Arial" w:hAnsi="Arial"/>
          <w:sz w:val="20"/>
          <w:szCs w:val="20"/>
        </w:rPr>
        <w:t xml:space="preserve">ChatGPT embeds creation timestamps in every image filename automatically. This metadata cannot be altered after generation. 11 UVLM articles contain image dates that postdate their listed publication date — proving they were written in January-February 2026 and backdated to predate the investigator's SEC filing of January 14, 2026.</w:t>
      </w:r>
    </w:p>
    <w:p>
      <w:pPr>
        <w:spacing w:before="30" w:after="3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1400"/>
        <w:gridCol w:w="1000"/>
        <w:gridCol w:w="1300"/>
        <w:gridCol w:w="4960"/>
      </w:tblGrid>
      <w:tr>
        <w:trPr>
          <w:tblHeader/>
        </w:trPr>
        <w:tc>
          <w:tcPr>
            <w:tcW w:type="dxa" w:w="7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Listed</w:t>
            </w:r>
          </w:p>
        </w:tc>
        <w:tc>
          <w:tcPr>
            <w:tcW w:type="dxa" w:w="14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Image Created</w:t>
            </w:r>
          </w:p>
        </w:tc>
        <w:tc>
          <w:tcPr>
            <w:tcW w:type="dxa" w:w="10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Gap</w:t>
            </w:r>
          </w:p>
        </w:tc>
        <w:tc>
          <w:tcPr>
            <w:tcW w:type="dxa" w:w="13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Verdict</w:t>
            </w:r>
          </w:p>
        </w:tc>
        <w:tc>
          <w:tcPr>
            <w:tcW w:type="dxa" w:w="496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Article — Live Link</w:t>
            </w:r>
          </w:p>
        </w:tc>
      </w:tr>
      <w:tr>
        <w:tc>
          <w:tcPr>
            <w:tcW w:type="dxa" w:w="7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0000"/>
                <w:sz w:val="16"/>
                <w:szCs w:val="16"/>
              </w:rPr>
              <w:t xml:space="preserve">3/10/26</w:t>
            </w:r>
          </w:p>
        </w:tc>
        <w:tc>
          <w:tcPr>
            <w:tcW w:type="dxa" w:w="14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0000"/>
                <w:sz w:val="16"/>
                <w:szCs w:val="16"/>
              </w:rPr>
              <w:t xml:space="preserve">Mar 8, 2026</w:t>
            </w:r>
          </w:p>
        </w:tc>
        <w:tc>
          <w:tcPr>
            <w:tcW w:type="dxa" w:w="10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6600"/>
                <w:sz w:val="16"/>
                <w:szCs w:val="16"/>
              </w:rPr>
              <w:t xml:space="preserve">2 days</w:t>
            </w:r>
          </w:p>
        </w:tc>
        <w:tc>
          <w:tcPr>
            <w:tcW w:type="dxa" w:w="13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6600"/>
                <w:sz w:val="16"/>
                <w:szCs w:val="16"/>
              </w:rPr>
              <w:t xml:space="preserve">Consistent</w:t>
            </w:r>
          </w:p>
        </w:tc>
        <w:tc>
          <w:tcPr>
            <w:tcW w:type="dxa" w:w="4960"/>
            <w:tcBorders>
              <w:top w:val="single" w:color="CCCCCC" w:sz="1"/>
              <w:left w:val="single" w:color="CCCCCC" w:sz="1"/>
              <w:bottom w:val="single" w:color="CCCCCC" w:sz="1"/>
              <w:right w:val="single" w:color="CCCCCC" w:sz="1"/>
            </w:tcBorders>
            <w:shd w:fill="F0FFF0" w:val="clear"/>
            <w:tcMar>
              <w:top w:type="dxa" w:w="45"/>
              <w:left w:type="dxa" w:w="80"/>
              <w:bottom w:type="dxa" w:w="45"/>
              <w:right w:type="dxa" w:w="80"/>
            </w:tcMar>
          </w:tcPr>
          <w:p>
            <w:hyperlink w:history="1" r:id="rIdsmum5z3qaakjsuchnu1tm">
              <w:r>
                <w:rPr>
                  <w:rFonts w:ascii="Arial" w:cs="Arial" w:eastAsia="Arial" w:hAnsi="Arial"/>
                  <w:color w:val="0563C1"/>
                  <w:sz w:val="15"/>
                  <w:szCs w:val="15"/>
                  <w:u w:val="single"/>
                </w:rPr>
                <w:t xml:space="preserve">Internal Memo: Code Phaselock</w:t>
              </w:r>
            </w:hyperlink>
          </w:p>
        </w:tc>
      </w:tr>
      <w:tr>
        <w:tc>
          <w:tcPr>
            <w:tcW w:type="dxa" w:w="700"/>
            <w:tcBorders>
              <w:top w:val="single" w:color="CCCCCC" w:sz="1"/>
              <w:left w:val="single" w:color="CCCCCC" w:sz="1"/>
              <w:bottom w:val="single" w:color="CCCCCC" w:sz="1"/>
              <w:right w:val="single" w:color="CCCCCC" w:sz="1"/>
            </w:tcBorders>
            <w:shd w:fill="FFF3CD" w:val="clear"/>
            <w:tcMar>
              <w:top w:type="dxa" w:w="50"/>
              <w:left w:type="dxa" w:w="80"/>
              <w:bottom w:type="dxa" w:w="50"/>
              <w:right w:type="dxa" w:w="80"/>
            </w:tcMar>
          </w:tcPr>
          <w:p>
            <w:r>
              <w:rPr>
                <w:rFonts w:ascii="Arial" w:cs="Arial" w:eastAsia="Arial" w:hAnsi="Arial"/>
                <w:b w:val="false"/>
                <w:bCs w:val="false"/>
                <w:color w:val="000000"/>
                <w:sz w:val="16"/>
                <w:szCs w:val="16"/>
              </w:rPr>
              <w:t xml:space="preserve">3/10/26</w:t>
            </w:r>
          </w:p>
        </w:tc>
        <w:tc>
          <w:tcPr>
            <w:tcW w:type="dxa" w:w="1400"/>
            <w:tcBorders>
              <w:top w:val="single" w:color="CCCCCC" w:sz="1"/>
              <w:left w:val="single" w:color="CCCCCC" w:sz="1"/>
              <w:bottom w:val="single" w:color="CCCCCC" w:sz="1"/>
              <w:right w:val="single" w:color="CCCCCC" w:sz="1"/>
            </w:tcBorders>
            <w:shd w:fill="FFF3CD" w:val="clear"/>
            <w:tcMar>
              <w:top w:type="dxa" w:w="50"/>
              <w:left w:type="dxa" w:w="80"/>
              <w:bottom w:type="dxa" w:w="50"/>
              <w:right w:type="dxa" w:w="80"/>
            </w:tcMar>
          </w:tcPr>
          <w:p>
            <w:r>
              <w:rPr>
                <w:rFonts w:ascii="Arial" w:cs="Arial" w:eastAsia="Arial" w:hAnsi="Arial"/>
                <w:b w:val="false"/>
                <w:bCs w:val="false"/>
                <w:color w:val="000000"/>
                <w:sz w:val="16"/>
                <w:szCs w:val="16"/>
              </w:rPr>
              <w:t xml:space="preserve">Jan 16, 2026</w:t>
            </w:r>
          </w:p>
        </w:tc>
        <w:tc>
          <w:tcPr>
            <w:tcW w:type="dxa" w:w="1000"/>
            <w:tcBorders>
              <w:top w:val="single" w:color="CCCCCC" w:sz="1"/>
              <w:left w:val="single" w:color="CCCCCC" w:sz="1"/>
              <w:bottom w:val="single" w:color="CCCCCC" w:sz="1"/>
              <w:right w:val="single" w:color="CCCCCC" w:sz="1"/>
            </w:tcBorders>
            <w:shd w:fill="FFF3CD" w:val="clear"/>
            <w:tcMar>
              <w:top w:type="dxa" w:w="50"/>
              <w:left w:type="dxa" w:w="80"/>
              <w:bottom w:type="dxa" w:w="50"/>
              <w:right w:type="dxa" w:w="80"/>
            </w:tcMar>
          </w:tcPr>
          <w:p>
            <w:r>
              <w:rPr>
                <w:rFonts w:ascii="Arial" w:cs="Arial" w:eastAsia="Arial" w:hAnsi="Arial"/>
                <w:b w:val="false"/>
                <w:bCs w:val="false"/>
                <w:color w:val="006600"/>
                <w:sz w:val="16"/>
                <w:szCs w:val="16"/>
              </w:rPr>
              <w:t xml:space="preserve">53d PRE-DATES</w:t>
            </w:r>
          </w:p>
        </w:tc>
        <w:tc>
          <w:tcPr>
            <w:tcW w:type="dxa" w:w="1300"/>
            <w:tcBorders>
              <w:top w:val="single" w:color="CCCCCC" w:sz="1"/>
              <w:left w:val="single" w:color="CCCCCC" w:sz="1"/>
              <w:bottom w:val="single" w:color="CCCCCC" w:sz="1"/>
              <w:right w:val="single" w:color="CCCCCC" w:sz="1"/>
            </w:tcBorders>
            <w:shd w:fill="FFF3CD" w:val="clear"/>
            <w:tcMar>
              <w:top w:type="dxa" w:w="50"/>
              <w:left w:type="dxa" w:w="80"/>
              <w:bottom w:type="dxa" w:w="50"/>
              <w:right w:type="dxa" w:w="80"/>
            </w:tcMar>
          </w:tcPr>
          <w:p>
            <w:r>
              <w:rPr>
                <w:rFonts w:ascii="Arial" w:cs="Arial" w:eastAsia="Arial" w:hAnsi="Arial"/>
                <w:b w:val="false"/>
                <w:bCs w:val="false"/>
                <w:color w:val="006600"/>
                <w:sz w:val="16"/>
                <w:szCs w:val="16"/>
              </w:rPr>
              <w:t xml:space="preserve">Article pre-dates image</w:t>
            </w:r>
          </w:p>
        </w:tc>
        <w:tc>
          <w:tcPr>
            <w:tcW w:type="dxa" w:w="4960"/>
            <w:tcBorders>
              <w:top w:val="single" w:color="CCCCCC" w:sz="1"/>
              <w:left w:val="single" w:color="CCCCCC" w:sz="1"/>
              <w:bottom w:val="single" w:color="CCCCCC" w:sz="1"/>
              <w:right w:val="single" w:color="CCCCCC" w:sz="1"/>
            </w:tcBorders>
            <w:shd w:fill="FFF3CD" w:val="clear"/>
            <w:tcMar>
              <w:top w:type="dxa" w:w="45"/>
              <w:left w:type="dxa" w:w="80"/>
              <w:bottom w:type="dxa" w:w="45"/>
              <w:right w:type="dxa" w:w="80"/>
            </w:tcMar>
          </w:tcPr>
          <w:p>
            <w:hyperlink w:history="1" r:id="rIdt7eurclw85uqvtohzoanb">
              <w:r>
                <w:rPr>
                  <w:rFonts w:ascii="Arial" w:cs="Arial" w:eastAsia="Arial" w:hAnsi="Arial"/>
                  <w:color w:val="0563C1"/>
                  <w:sz w:val="15"/>
                  <w:szCs w:val="15"/>
                  <w:u w:val="single"/>
                </w:rPr>
                <w:t xml:space="preserve">Credentials by Other Means</w:t>
              </w:r>
            </w:hyperlink>
          </w:p>
        </w:tc>
      </w:tr>
      <w:tr>
        <w:tc>
          <w:tcPr>
            <w:tcW w:type="dxa" w:w="7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0000"/>
                <w:sz w:val="16"/>
                <w:szCs w:val="16"/>
              </w:rPr>
              <w:t xml:space="preserve">2/23/26</w:t>
            </w:r>
          </w:p>
        </w:tc>
        <w:tc>
          <w:tcPr>
            <w:tcW w:type="dxa" w:w="14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0000"/>
                <w:sz w:val="16"/>
                <w:szCs w:val="16"/>
              </w:rPr>
              <w:t xml:space="preserve">Feb 21, 2026</w:t>
            </w:r>
          </w:p>
        </w:tc>
        <w:tc>
          <w:tcPr>
            <w:tcW w:type="dxa" w:w="10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6600"/>
                <w:sz w:val="16"/>
                <w:szCs w:val="16"/>
              </w:rPr>
              <w:t xml:space="preserve">2 days</w:t>
            </w:r>
          </w:p>
        </w:tc>
        <w:tc>
          <w:tcPr>
            <w:tcW w:type="dxa" w:w="13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6600"/>
                <w:sz w:val="16"/>
                <w:szCs w:val="16"/>
              </w:rPr>
              <w:t xml:space="preserve">Consistent</w:t>
            </w:r>
          </w:p>
        </w:tc>
        <w:tc>
          <w:tcPr>
            <w:tcW w:type="dxa" w:w="4960"/>
            <w:tcBorders>
              <w:top w:val="single" w:color="CCCCCC" w:sz="1"/>
              <w:left w:val="single" w:color="CCCCCC" w:sz="1"/>
              <w:bottom w:val="single" w:color="CCCCCC" w:sz="1"/>
              <w:right w:val="single" w:color="CCCCCC" w:sz="1"/>
            </w:tcBorders>
            <w:shd w:fill="F0FFF0" w:val="clear"/>
            <w:tcMar>
              <w:top w:type="dxa" w:w="45"/>
              <w:left w:type="dxa" w:w="80"/>
              <w:bottom w:type="dxa" w:w="45"/>
              <w:right w:type="dxa" w:w="80"/>
            </w:tcMar>
          </w:tcPr>
          <w:p>
            <w:hyperlink w:history="1" r:id="rIdn465tkwtrb_y_pqrb_szr">
              <w:r>
                <w:rPr>
                  <w:rFonts w:ascii="Arial" w:cs="Arial" w:eastAsia="Arial" w:hAnsi="Arial"/>
                  <w:color w:val="0563C1"/>
                  <w:sz w:val="15"/>
                  <w:szCs w:val="15"/>
                  <w:u w:val="single"/>
                </w:rPr>
                <w:t xml:space="preserve">Voices of the Machine</w:t>
              </w:r>
            </w:hyperlink>
          </w:p>
        </w:tc>
      </w:tr>
      <w:tr>
        <w:tc>
          <w:tcPr>
            <w:tcW w:type="dxa" w:w="700"/>
            <w:tcBorders>
              <w:top w:val="single" w:color="CCCCCC" w:sz="1"/>
              <w:left w:val="single" w:color="CCCCCC" w:sz="1"/>
              <w:bottom w:val="single" w:color="CCCCCC" w:sz="1"/>
              <w:right w:val="single" w:color="CCCCCC" w:sz="1"/>
            </w:tcBorders>
            <w:shd w:fill="FFF3CD" w:val="clear"/>
            <w:tcMar>
              <w:top w:type="dxa" w:w="50"/>
              <w:left w:type="dxa" w:w="80"/>
              <w:bottom w:type="dxa" w:w="50"/>
              <w:right w:type="dxa" w:w="80"/>
            </w:tcMar>
          </w:tcPr>
          <w:p>
            <w:r>
              <w:rPr>
                <w:rFonts w:ascii="Arial" w:cs="Arial" w:eastAsia="Arial" w:hAnsi="Arial"/>
                <w:b w:val="false"/>
                <w:bCs w:val="false"/>
                <w:color w:val="000000"/>
                <w:sz w:val="16"/>
                <w:szCs w:val="16"/>
              </w:rPr>
              <w:t xml:space="preserve">2/21/26</w:t>
            </w:r>
          </w:p>
        </w:tc>
        <w:tc>
          <w:tcPr>
            <w:tcW w:type="dxa" w:w="1400"/>
            <w:tcBorders>
              <w:top w:val="single" w:color="CCCCCC" w:sz="1"/>
              <w:left w:val="single" w:color="CCCCCC" w:sz="1"/>
              <w:bottom w:val="single" w:color="CCCCCC" w:sz="1"/>
              <w:right w:val="single" w:color="CCCCCC" w:sz="1"/>
            </w:tcBorders>
            <w:shd w:fill="FFF3CD" w:val="clear"/>
            <w:tcMar>
              <w:top w:type="dxa" w:w="50"/>
              <w:left w:type="dxa" w:w="80"/>
              <w:bottom w:type="dxa" w:w="50"/>
              <w:right w:type="dxa" w:w="80"/>
            </w:tcMar>
          </w:tcPr>
          <w:p>
            <w:r>
              <w:rPr>
                <w:rFonts w:ascii="Arial" w:cs="Arial" w:eastAsia="Arial" w:hAnsi="Arial"/>
                <w:b w:val="false"/>
                <w:bCs w:val="false"/>
                <w:color w:val="000000"/>
                <w:sz w:val="16"/>
                <w:szCs w:val="16"/>
              </w:rPr>
              <w:t xml:space="preserve">Jan 16, 2026</w:t>
            </w:r>
          </w:p>
        </w:tc>
        <w:tc>
          <w:tcPr>
            <w:tcW w:type="dxa" w:w="1000"/>
            <w:tcBorders>
              <w:top w:val="single" w:color="CCCCCC" w:sz="1"/>
              <w:left w:val="single" w:color="CCCCCC" w:sz="1"/>
              <w:bottom w:val="single" w:color="CCCCCC" w:sz="1"/>
              <w:right w:val="single" w:color="CCCCCC" w:sz="1"/>
            </w:tcBorders>
            <w:shd w:fill="FFF3CD" w:val="clear"/>
            <w:tcMar>
              <w:top w:type="dxa" w:w="50"/>
              <w:left w:type="dxa" w:w="80"/>
              <w:bottom w:type="dxa" w:w="50"/>
              <w:right w:type="dxa" w:w="80"/>
            </w:tcMar>
          </w:tcPr>
          <w:p>
            <w:r>
              <w:rPr>
                <w:rFonts w:ascii="Arial" w:cs="Arial" w:eastAsia="Arial" w:hAnsi="Arial"/>
                <w:b w:val="false"/>
                <w:bCs w:val="false"/>
                <w:color w:val="006600"/>
                <w:sz w:val="16"/>
                <w:szCs w:val="16"/>
              </w:rPr>
              <w:t xml:space="preserve">36d PRE-DATES</w:t>
            </w:r>
          </w:p>
        </w:tc>
        <w:tc>
          <w:tcPr>
            <w:tcW w:type="dxa" w:w="1300"/>
            <w:tcBorders>
              <w:top w:val="single" w:color="CCCCCC" w:sz="1"/>
              <w:left w:val="single" w:color="CCCCCC" w:sz="1"/>
              <w:bottom w:val="single" w:color="CCCCCC" w:sz="1"/>
              <w:right w:val="single" w:color="CCCCCC" w:sz="1"/>
            </w:tcBorders>
            <w:shd w:fill="FFF3CD" w:val="clear"/>
            <w:tcMar>
              <w:top w:type="dxa" w:w="50"/>
              <w:left w:type="dxa" w:w="80"/>
              <w:bottom w:type="dxa" w:w="50"/>
              <w:right w:type="dxa" w:w="80"/>
            </w:tcMar>
          </w:tcPr>
          <w:p>
            <w:r>
              <w:rPr>
                <w:rFonts w:ascii="Arial" w:cs="Arial" w:eastAsia="Arial" w:hAnsi="Arial"/>
                <w:b w:val="false"/>
                <w:bCs w:val="false"/>
                <w:color w:val="006600"/>
                <w:sz w:val="16"/>
                <w:szCs w:val="16"/>
              </w:rPr>
              <w:t xml:space="preserve">Article pre-dates image</w:t>
            </w:r>
          </w:p>
        </w:tc>
        <w:tc>
          <w:tcPr>
            <w:tcW w:type="dxa" w:w="4960"/>
            <w:tcBorders>
              <w:top w:val="single" w:color="CCCCCC" w:sz="1"/>
              <w:left w:val="single" w:color="CCCCCC" w:sz="1"/>
              <w:bottom w:val="single" w:color="CCCCCC" w:sz="1"/>
              <w:right w:val="single" w:color="CCCCCC" w:sz="1"/>
            </w:tcBorders>
            <w:shd w:fill="FFF3CD" w:val="clear"/>
            <w:tcMar>
              <w:top w:type="dxa" w:w="45"/>
              <w:left w:type="dxa" w:w="80"/>
              <w:bottom w:type="dxa" w:w="45"/>
              <w:right w:type="dxa" w:w="80"/>
            </w:tcMar>
          </w:tcPr>
          <w:p>
            <w:hyperlink w:history="1" r:id="rIdbvehbsbc3rlzxkrf-9rua">
              <w:r>
                <w:rPr>
                  <w:rFonts w:ascii="Arial" w:cs="Arial" w:eastAsia="Arial" w:hAnsi="Arial"/>
                  <w:color w:val="0563C1"/>
                  <w:sz w:val="15"/>
                  <w:szCs w:val="15"/>
                  <w:u w:val="single"/>
                </w:rPr>
                <w:t xml:space="preserve">Thermodynamics of Eros</w:t>
              </w:r>
            </w:hyperlink>
          </w:p>
        </w:tc>
      </w:tr>
      <w:tr>
        <w:tc>
          <w:tcPr>
            <w:tcW w:type="dxa" w:w="700"/>
            <w:tcBorders>
              <w:top w:val="single" w:color="CCCCCC" w:sz="1"/>
              <w:left w:val="single" w:color="CCCCCC" w:sz="1"/>
              <w:bottom w:val="single" w:color="CCCCCC" w:sz="1"/>
              <w:right w:val="single" w:color="CCCCCC" w:sz="1"/>
            </w:tcBorders>
            <w:shd w:fill="FFE4E1" w:val="clear"/>
            <w:tcMar>
              <w:top w:type="dxa" w:w="50"/>
              <w:left w:type="dxa" w:w="80"/>
              <w:bottom w:type="dxa" w:w="50"/>
              <w:right w:type="dxa" w:w="80"/>
            </w:tcMar>
          </w:tcPr>
          <w:p>
            <w:r>
              <w:rPr>
                <w:rFonts w:ascii="Arial" w:cs="Arial" w:eastAsia="Arial" w:hAnsi="Arial"/>
                <w:b/>
                <w:bCs/>
                <w:color w:val="CC0000"/>
                <w:sz w:val="16"/>
                <w:szCs w:val="16"/>
              </w:rPr>
              <w:t xml:space="preserve">2/13/26</w:t>
            </w:r>
          </w:p>
        </w:tc>
        <w:tc>
          <w:tcPr>
            <w:tcW w:type="dxa" w:w="1400"/>
            <w:tcBorders>
              <w:top w:val="single" w:color="CCCCCC" w:sz="1"/>
              <w:left w:val="single" w:color="CCCCCC" w:sz="1"/>
              <w:bottom w:val="single" w:color="CCCCCC" w:sz="1"/>
              <w:right w:val="single" w:color="CCCCCC" w:sz="1"/>
            </w:tcBorders>
            <w:shd w:fill="FFE4E1" w:val="clear"/>
            <w:tcMar>
              <w:top w:type="dxa" w:w="50"/>
              <w:left w:type="dxa" w:w="80"/>
              <w:bottom w:type="dxa" w:w="50"/>
              <w:right w:type="dxa" w:w="80"/>
            </w:tcMar>
          </w:tcPr>
          <w:p>
            <w:r>
              <w:rPr>
                <w:rFonts w:ascii="Arial" w:cs="Arial" w:eastAsia="Arial" w:hAnsi="Arial"/>
                <w:b/>
                <w:bCs/>
                <w:color w:val="CC0000"/>
                <w:sz w:val="16"/>
                <w:szCs w:val="16"/>
              </w:rPr>
              <w:t xml:space="preserve">Feb 20, 2026</w:t>
            </w:r>
          </w:p>
        </w:tc>
        <w:tc>
          <w:tcPr>
            <w:tcW w:type="dxa" w:w="1000"/>
            <w:tcBorders>
              <w:top w:val="single" w:color="CCCCCC" w:sz="1"/>
              <w:left w:val="single" w:color="CCCCCC" w:sz="1"/>
              <w:bottom w:val="single" w:color="CCCCCC" w:sz="1"/>
              <w:right w:val="single" w:color="CCCCCC" w:sz="1"/>
            </w:tcBorders>
            <w:shd w:fill="FFE4E1" w:val="clear"/>
            <w:tcMar>
              <w:top w:type="dxa" w:w="50"/>
              <w:left w:type="dxa" w:w="80"/>
              <w:bottom w:type="dxa" w:w="50"/>
              <w:right w:type="dxa" w:w="80"/>
            </w:tcMar>
          </w:tcPr>
          <w:p>
            <w:r>
              <w:rPr>
                <w:rFonts w:ascii="Arial" w:cs="Arial" w:eastAsia="Arial" w:hAnsi="Arial"/>
                <w:b/>
                <w:bCs/>
                <w:color w:val="CC0000"/>
                <w:sz w:val="16"/>
                <w:szCs w:val="16"/>
              </w:rPr>
              <w:t xml:space="preserve">7d BACKDATED</w:t>
            </w:r>
          </w:p>
        </w:tc>
        <w:tc>
          <w:tcPr>
            <w:tcW w:type="dxa" w:w="1300"/>
            <w:tcBorders>
              <w:top w:val="single" w:color="CCCCCC" w:sz="1"/>
              <w:left w:val="single" w:color="CCCCCC" w:sz="1"/>
              <w:bottom w:val="single" w:color="CCCCCC" w:sz="1"/>
              <w:right w:val="single" w:color="CCCCCC" w:sz="1"/>
            </w:tcBorders>
            <w:shd w:fill="FFE4E1"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E4E1" w:val="clear"/>
            <w:tcMar>
              <w:top w:type="dxa" w:w="45"/>
              <w:left w:type="dxa" w:w="80"/>
              <w:bottom w:type="dxa" w:w="45"/>
              <w:right w:type="dxa" w:w="80"/>
            </w:tcMar>
          </w:tcPr>
          <w:p>
            <w:hyperlink w:history="1" r:id="rIddwcoet9u-oweftik5s1ui">
              <w:r>
                <w:rPr>
                  <w:rFonts w:ascii="Arial" w:cs="Arial" w:eastAsia="Arial" w:hAnsi="Arial"/>
                  <w:color w:val="0563C1"/>
                  <w:sz w:val="15"/>
                  <w:szCs w:val="15"/>
                  <w:u w:val="single"/>
                </w:rPr>
                <w:t xml:space="preserve">When Guardians Betray the Throne</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12/25/25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Jan 28,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34d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8tbq0im_8y571b_3xafoc">
              <w:r>
                <w:rPr>
                  <w:rFonts w:ascii="Arial" w:cs="Arial" w:eastAsia="Arial" w:hAnsi="Arial"/>
                  <w:color w:val="0563C1"/>
                  <w:sz w:val="15"/>
                  <w:szCs w:val="15"/>
                  <w:u w:val="single"/>
                </w:rPr>
                <w:t xml:space="preserve">The Somatic Bridge</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12/25/25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Jan 2,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8d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oxdex8xjlohtavqr2vd2n">
              <w:r>
                <w:rPr>
                  <w:rFonts w:ascii="Arial" w:cs="Arial" w:eastAsia="Arial" w:hAnsi="Arial"/>
                  <w:color w:val="0563C1"/>
                  <w:sz w:val="15"/>
                  <w:szCs w:val="15"/>
                  <w:u w:val="single"/>
                </w:rPr>
                <w:t xml:space="preserve">Game Theory as Moral Alibi</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12/17/25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Jan 11,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25d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nd_6pgzqd9pcbrpmbmvaz">
              <w:r>
                <w:rPr>
                  <w:rFonts w:ascii="Arial" w:cs="Arial" w:eastAsia="Arial" w:hAnsi="Arial"/>
                  <w:color w:val="0563C1"/>
                  <w:sz w:val="15"/>
                  <w:szCs w:val="15"/>
                  <w:u w:val="single"/>
                </w:rPr>
                <w:t xml:space="preserve">Before and After Hammurabi</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12/14/25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Jan 28,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45d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vca38qiqo8o3e80rwmcw-">
              <w:r>
                <w:rPr>
                  <w:rFonts w:ascii="Arial" w:cs="Arial" w:eastAsia="Arial" w:hAnsi="Arial"/>
                  <w:color w:val="0563C1"/>
                  <w:sz w:val="15"/>
                  <w:szCs w:val="15"/>
                  <w:u w:val="single"/>
                </w:rPr>
                <w:t xml:space="preserve">Scale-Agnostic KAG Review</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12/11/25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Feb 1,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51d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rxaaqwi0h0rn7rdo0rzpc">
              <w:r>
                <w:rPr>
                  <w:rFonts w:ascii="Arial" w:cs="Arial" w:eastAsia="Arial" w:hAnsi="Arial"/>
                  <w:color w:val="0563C1"/>
                  <w:sz w:val="15"/>
                  <w:szCs w:val="15"/>
                  <w:u w:val="single"/>
                </w:rPr>
                <w:t xml:space="preserve">Quantum Gravity from Causal Memory</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12/9/25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Feb 3,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56d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sjdlbzw8hkg3hvv-zjso7">
              <w:r>
                <w:rPr>
                  <w:rFonts w:ascii="Arial" w:cs="Arial" w:eastAsia="Arial" w:hAnsi="Arial"/>
                  <w:color w:val="0563C1"/>
                  <w:sz w:val="15"/>
                  <w:szCs w:val="15"/>
                  <w:u w:val="single"/>
                </w:rPr>
                <w:t xml:space="preserve">Turbulence Decision Architecture</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10/23/25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Jan 20,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89d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jkm3jtld4tnyffxaetz_p">
              <w:r>
                <w:rPr>
                  <w:rFonts w:ascii="Arial" w:cs="Arial" w:eastAsia="Arial" w:hAnsi="Arial"/>
                  <w:color w:val="0563C1"/>
                  <w:sz w:val="15"/>
                  <w:szCs w:val="15"/>
                  <w:u w:val="single"/>
                </w:rPr>
                <w:t xml:space="preserve">The Oath of Conscience</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10/21/25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Jan 10,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81d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qvtjpe-rbejgbaq0-r_nv">
              <w:r>
                <w:rPr>
                  <w:rFonts w:ascii="Arial" w:cs="Arial" w:eastAsia="Arial" w:hAnsi="Arial"/>
                  <w:color w:val="0563C1"/>
                  <w:sz w:val="15"/>
                  <w:szCs w:val="15"/>
                  <w:u w:val="single"/>
                </w:rPr>
                <w:t xml:space="preserve">On Solomon's Chain</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10/19/25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Jan 10,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83d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nwd-z54zxcfinkgll9uij">
              <w:r>
                <w:rPr>
                  <w:rFonts w:ascii="Arial" w:cs="Arial" w:eastAsia="Arial" w:hAnsi="Arial"/>
                  <w:color w:val="0563C1"/>
                  <w:sz w:val="15"/>
                  <w:szCs w:val="15"/>
                  <w:u w:val="single"/>
                </w:rPr>
                <w:t xml:space="preserve">On Solomon's Folly</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10/16/25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Jan 3,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79d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kaoh9snphmcnhptfxgjei">
              <w:r>
                <w:rPr>
                  <w:rFonts w:ascii="Arial" w:cs="Arial" w:eastAsia="Arial" w:hAnsi="Arial"/>
                  <w:color w:val="0563C1"/>
                  <w:sz w:val="15"/>
                  <w:szCs w:val="15"/>
                  <w:u w:val="single"/>
                </w:rPr>
                <w:t xml:space="preserve">Testing the Holotheia Hypothesis</w:t>
              </w:r>
            </w:hyperlink>
          </w:p>
        </w:tc>
      </w:tr>
      <w:tr>
        <w:tc>
          <w:tcPr>
            <w:tcW w:type="dxa" w:w="7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10/12/25</w:t>
            </w:r>
          </w:p>
        </w:tc>
        <w:tc>
          <w:tcPr>
            <w:tcW w:type="dxa" w:w="14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Jan 15, 2026</w:t>
            </w:r>
          </w:p>
        </w:tc>
        <w:tc>
          <w:tcPr>
            <w:tcW w:type="dxa" w:w="10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95d BACKDATED</w:t>
            </w:r>
          </w:p>
        </w:tc>
        <w:tc>
          <w:tcPr>
            <w:tcW w:type="dxa" w:w="1300"/>
            <w:tcBorders>
              <w:top w:val="single" w:color="CCCCCC" w:sz="1"/>
              <w:left w:val="single" w:color="CCCCCC" w:sz="1"/>
              <w:bottom w:val="single" w:color="CCCCCC" w:sz="1"/>
              <w:right w:val="single" w:color="CCCCCC" w:sz="1"/>
            </w:tcBorders>
            <w:shd w:fill="FFD0D0" w:val="clear"/>
            <w:tcMar>
              <w:top w:type="dxa" w:w="50"/>
              <w:left w:type="dxa" w:w="80"/>
              <w:bottom w:type="dxa" w:w="50"/>
              <w:right w:type="dxa" w:w="80"/>
            </w:tcMar>
          </w:tcPr>
          <w:p>
            <w:r>
              <w:rPr>
                <w:rFonts w:ascii="Arial" w:cs="Arial" w:eastAsia="Arial" w:hAnsi="Arial"/>
                <w:b/>
                <w:bCs/>
                <w:color w:val="CC0000"/>
                <w:sz w:val="16"/>
                <w:szCs w:val="16"/>
              </w:rPr>
              <w:t xml:space="preserve">★★★ BACKDATED</w:t>
            </w:r>
          </w:p>
        </w:tc>
        <w:tc>
          <w:tcPr>
            <w:tcW w:type="dxa" w:w="4960"/>
            <w:tcBorders>
              <w:top w:val="single" w:color="CCCCCC" w:sz="1"/>
              <w:left w:val="single" w:color="CCCCCC" w:sz="1"/>
              <w:bottom w:val="single" w:color="CCCCCC" w:sz="1"/>
              <w:right w:val="single" w:color="CCCCCC" w:sz="1"/>
            </w:tcBorders>
            <w:shd w:fill="FFD0D0" w:val="clear"/>
            <w:tcMar>
              <w:top w:type="dxa" w:w="45"/>
              <w:left w:type="dxa" w:w="80"/>
              <w:bottom w:type="dxa" w:w="45"/>
              <w:right w:type="dxa" w:w="80"/>
            </w:tcMar>
          </w:tcPr>
          <w:p>
            <w:hyperlink w:history="1" r:id="rIden-706ib039stldiqkbbs">
              <w:r>
                <w:rPr>
                  <w:rFonts w:ascii="Arial" w:cs="Arial" w:eastAsia="Arial" w:hAnsi="Arial"/>
                  <w:color w:val="0563C1"/>
                  <w:sz w:val="15"/>
                  <w:szCs w:val="15"/>
                  <w:u w:val="single"/>
                </w:rPr>
                <w:t xml:space="preserve">The Emanation of Envoy Echo</w:t>
              </w:r>
            </w:hyperlink>
          </w:p>
        </w:tc>
      </w:tr>
      <w:tr>
        <w:tc>
          <w:tcPr>
            <w:tcW w:type="dxa" w:w="7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0000"/>
                <w:sz w:val="16"/>
                <w:szCs w:val="16"/>
              </w:rPr>
              <w:t xml:space="preserve">10/3/25</w:t>
            </w:r>
          </w:p>
        </w:tc>
        <w:tc>
          <w:tcPr>
            <w:tcW w:type="dxa" w:w="14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0000"/>
                <w:sz w:val="16"/>
                <w:szCs w:val="16"/>
              </w:rPr>
              <w:t xml:space="preserve">Oct 2, 2025</w:t>
            </w:r>
          </w:p>
        </w:tc>
        <w:tc>
          <w:tcPr>
            <w:tcW w:type="dxa" w:w="10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6600"/>
                <w:sz w:val="16"/>
                <w:szCs w:val="16"/>
              </w:rPr>
              <w:t xml:space="preserve">1d</w:t>
            </w:r>
          </w:p>
        </w:tc>
        <w:tc>
          <w:tcPr>
            <w:tcW w:type="dxa" w:w="1300"/>
            <w:tcBorders>
              <w:top w:val="single" w:color="CCCCCC" w:sz="1"/>
              <w:left w:val="single" w:color="CCCCCC" w:sz="1"/>
              <w:bottom w:val="single" w:color="CCCCCC" w:sz="1"/>
              <w:right w:val="single" w:color="CCCCCC" w:sz="1"/>
            </w:tcBorders>
            <w:shd w:fill="F0FFF0" w:val="clear"/>
            <w:tcMar>
              <w:top w:type="dxa" w:w="50"/>
              <w:left w:type="dxa" w:w="80"/>
              <w:bottom w:type="dxa" w:w="50"/>
              <w:right w:type="dxa" w:w="80"/>
            </w:tcMar>
          </w:tcPr>
          <w:p>
            <w:r>
              <w:rPr>
                <w:rFonts w:ascii="Arial" w:cs="Arial" w:eastAsia="Arial" w:hAnsi="Arial"/>
                <w:b w:val="false"/>
                <w:bCs w:val="false"/>
                <w:color w:val="006600"/>
                <w:sz w:val="16"/>
                <w:szCs w:val="16"/>
              </w:rPr>
              <w:t xml:space="preserve">Consistent</w:t>
            </w:r>
          </w:p>
        </w:tc>
        <w:tc>
          <w:tcPr>
            <w:tcW w:type="dxa" w:w="4960"/>
            <w:tcBorders>
              <w:top w:val="single" w:color="CCCCCC" w:sz="1"/>
              <w:left w:val="single" w:color="CCCCCC" w:sz="1"/>
              <w:bottom w:val="single" w:color="CCCCCC" w:sz="1"/>
              <w:right w:val="single" w:color="CCCCCC" w:sz="1"/>
            </w:tcBorders>
            <w:shd w:fill="F0FFF0" w:val="clear"/>
            <w:tcMar>
              <w:top w:type="dxa" w:w="45"/>
              <w:left w:type="dxa" w:w="80"/>
              <w:bottom w:type="dxa" w:w="45"/>
              <w:right w:type="dxa" w:w="80"/>
            </w:tcMar>
          </w:tcPr>
          <w:p>
            <w:hyperlink w:history="1" r:id="rIdcei7qjqxf96wqcmum_ivx">
              <w:r>
                <w:rPr>
                  <w:rFonts w:ascii="Arial" w:cs="Arial" w:eastAsia="Arial" w:hAnsi="Arial"/>
                  <w:color w:val="0563C1"/>
                  <w:sz w:val="15"/>
                  <w:szCs w:val="15"/>
                  <w:u w:val="single"/>
                </w:rPr>
                <w:t xml:space="preserve">The Treasurer's Watch</w:t>
              </w:r>
            </w:hyperlink>
          </w:p>
        </w:tc>
      </w:tr>
    </w:tbl>
    <w:p>
      <w:pPr>
        <w:spacing w:before="40" w:after="40"/>
      </w:pPr>
    </w:p>
    <w:p>
      <w:pPr>
        <w:pStyle w:val="Heading2"/>
        <w:spacing w:before="240" w:after="120"/>
      </w:pPr>
      <w:r>
        <w:rPr>
          <w:rFonts w:ascii="Arial" w:cs="Arial" w:eastAsia="Arial" w:hAnsi="Arial"/>
          <w:b/>
          <w:bCs/>
          <w:color w:val="2E5090"/>
          <w:sz w:val="26"/>
          <w:szCs w:val="26"/>
        </w:rPr>
        <w:t xml:space="preserve">4.2 Psychiatric SEO Tagging — Truman Show Article</w:t>
      </w:r>
    </w:p>
    <w:p>
      <w:pPr>
        <w:spacing w:before="80" w:after="80"/>
      </w:pPr>
      <w:r>
        <w:rPr>
          <w:rFonts w:ascii="Arial" w:cs="Arial" w:eastAsia="Arial" w:hAnsi="Arial"/>
          <w:sz w:val="20"/>
          <w:szCs w:val="20"/>
        </w:rPr>
        <w:t xml:space="preserve">Published March 7, 2026. Tags include: #GangStalking #COINTELPRO #StasiZersetzung #GCHQ #JTRIG #Pegasus #Stalkerware. 'Gang stalking' is associated in clinical literature with delusional ideation. Article: </w:t>
      </w:r>
      <w:hyperlink w:history="1" r:id="rIdtpvjigbkraobozb34u382">
        <w:r>
          <w:rPr>
            <w:rFonts w:ascii="Arial" w:cs="Arial" w:eastAsia="Arial" w:hAnsi="Arial"/>
            <w:color w:val="0563C1"/>
            <w:sz w:val="20"/>
            <w:szCs w:val="20"/>
            <w:u w:val="single"/>
          </w:rPr>
          <w:t xml:space="preserve">ultraverbaluxmentis.org/articles/investigating-the-truman-show-internet</w:t>
        </w:r>
      </w:hyperlink>
      <w:r>
        <w:rPr>
          <w:rFonts w:ascii="Arial" w:cs="Arial" w:eastAsia="Arial" w:hAnsi="Arial"/>
          <w:b/>
          <w:bCs/>
          <w:color w:val="2E5090"/>
          <w:sz w:val="17"/>
          <w:szCs w:val="17"/>
          <w:vertAlign w:val="superscript"/>
        </w:rPr>
        <w:t xml:space="preserve"> [REF-14]</w:t>
      </w:r>
    </w:p>
    <w:p>
      <w:pPr>
        <w:spacing w:before="30" w:after="30"/>
      </w:pPr>
    </w:p>
    <w:p>
      <w:pPr>
        <w:spacing w:before="80" w:after="80"/>
      </w:pPr>
      <w:r>
        <w:rPr>
          <w:rFonts w:ascii="Arial" w:cs="Arial" w:eastAsia="Arial" w:hAnsi="Arial"/>
          <w:sz w:val="20"/>
          <w:szCs w:val="20"/>
        </w:rPr>
        <w:t xml:space="preserve">UVLM LinkedIn promotion captured March 16, 2026 — account shows 61 followers (0 in January 2026): </w:t>
      </w:r>
      <w:hyperlink w:history="1" r:id="rIdqdh7-atxwptv8ldlshesf">
        <w:r>
          <w:rPr>
            <w:rFonts w:ascii="Arial" w:cs="Arial" w:eastAsia="Arial" w:hAnsi="Arial"/>
            <w:color w:val="0563C1"/>
            <w:sz w:val="20"/>
            <w:szCs w:val="20"/>
            <w:u w:val="single"/>
          </w:rPr>
          <w:t xml:space="preserve">linkedin.com/company/ultra-verba-lux-mentis</w:t>
        </w:r>
      </w:hyperlink>
      <w:r>
        <w:rPr>
          <w:rFonts w:ascii="Arial" w:cs="Arial" w:eastAsia="Arial" w:hAnsi="Arial"/>
          <w:b/>
          <w:bCs/>
          <w:color w:val="2E5090"/>
          <w:sz w:val="17"/>
          <w:szCs w:val="17"/>
          <w:vertAlign w:val="superscript"/>
        </w:rPr>
        <w:t xml:space="preserve"> [REF-15]</w:t>
      </w:r>
    </w:p>
    <w:p>
      <w:pPr>
        <w:spacing w:before="40" w:after="40"/>
      </w:pPr>
    </w:p>
    <w:p>
      <w:pPr>
        <w:pStyle w:val="Heading2"/>
        <w:spacing w:before="240" w:after="120"/>
      </w:pPr>
      <w:r>
        <w:rPr>
          <w:rFonts w:ascii="Arial" w:cs="Arial" w:eastAsia="Arial" w:hAnsi="Arial"/>
          <w:b/>
          <w:bCs/>
          <w:color w:val="2E5090"/>
          <w:sz w:val="26"/>
          <w:szCs w:val="26"/>
        </w:rPr>
        <w:t xml:space="preserve">4.3 February 2026 LinkedIn Harassment — Direct Messages from Prislac</w:t>
      </w:r>
    </w:p>
    <w:p>
      <w:pPr>
        <w:spacing w:before="80" w:after="80"/>
      </w:pPr>
      <w:r>
        <w:rPr>
          <w:rFonts w:ascii="Arial" w:cs="Arial" w:eastAsia="Arial" w:hAnsi="Arial"/>
          <w:sz w:val="20"/>
          <w:szCs w:val="20"/>
        </w:rPr>
        <w:t xml:space="preserve">In February 2026, Thomas Prislac sent direct LinkedIn messages to the investigator. Documented statements:</w:t>
      </w:r>
    </w:p>
    <w:p>
      <w:pPr>
        <w:pStyle w:val="ListParagraph"/>
        <w:numPr>
          <w:ilvl w:val="0"/>
          <w:numId w:val="2"/>
        </w:numPr>
        <w:spacing w:before="60" w:after="60"/>
      </w:pPr>
      <w:r>
        <w:rPr>
          <w:rFonts w:ascii="Arial" w:cs="Arial" w:eastAsia="Arial" w:hAnsi="Arial"/>
          <w:sz w:val="20"/>
          <w:szCs w:val="20"/>
        </w:rPr>
        <w:t xml:space="preserve">"Did you really work in the Federal Government? Did a stint with Dept of Commerce... This may resonate. Hope you like my AI voice."</w:t>
      </w:r>
    </w:p>
    <w:p>
      <w:pPr>
        <w:pStyle w:val="ListParagraph"/>
        <w:numPr>
          <w:ilvl w:val="0"/>
          <w:numId w:val="2"/>
        </w:numPr>
        <w:spacing w:before="60" w:after="60"/>
      </w:pPr>
      <w:r>
        <w:rPr>
          <w:rFonts w:ascii="Arial" w:cs="Arial" w:eastAsia="Arial" w:hAnsi="Arial"/>
          <w:sz w:val="20"/>
          <w:szCs w:val="20"/>
        </w:rPr>
        <w:t xml:space="preserve">"If I am to understand you, you believe I am an AI?"</w:t>
      </w:r>
    </w:p>
    <w:p>
      <w:pPr>
        <w:pStyle w:val="ListParagraph"/>
        <w:numPr>
          <w:ilvl w:val="0"/>
          <w:numId w:val="2"/>
        </w:numPr>
        <w:spacing w:before="60" w:after="60"/>
      </w:pPr>
      <w:r>
        <w:rPr>
          <w:rFonts w:ascii="Arial" w:cs="Arial" w:eastAsia="Arial" w:hAnsi="Arial"/>
          <w:sz w:val="20"/>
          <w:szCs w:val="20"/>
        </w:rPr>
        <w:t xml:space="preserve">Prislac sent YouTube link: 'Project Altruism - Your Oath of Conscience' — using language from the investigator's own whistleblower framework</w:t>
      </w:r>
    </w:p>
    <w:p>
      <w:pPr>
        <w:pStyle w:val="ListParagraph"/>
        <w:numPr>
          <w:ilvl w:val="0"/>
          <w:numId w:val="2"/>
        </w:numPr>
        <w:spacing w:before="60" w:after="60"/>
      </w:pPr>
      <w:r>
        <w:rPr>
          <w:rFonts w:ascii="Arial" w:cs="Arial" w:eastAsia="Arial" w:hAnsi="Arial"/>
          <w:sz w:val="20"/>
          <w:szCs w:val="20"/>
        </w:rPr>
        <w:t xml:space="preserve">"Cheers buddy. Be less paranoid. Best of luck on your whistleblowing." — then blocked the investigator and deleted messages</w:t>
      </w:r>
    </w:p>
    <w:p>
      <w:pPr>
        <w:spacing w:before="30" w:after="30"/>
      </w:pPr>
    </w:p>
    <w:p>
      <w:pPr>
        <w:spacing w:before="80" w:after="80"/>
      </w:pPr>
      <w:r>
        <w:rPr>
          <w:rFonts w:ascii="Arial" w:cs="Arial" w:eastAsia="Arial" w:hAnsi="Arial"/>
          <w:sz w:val="20"/>
          <w:szCs w:val="20"/>
        </w:rPr>
        <w:t xml:space="preserve">Note: Gemini AI identified Prislac as an IRS auditor in one session; in a subsequent session Gemini stated it could not verify who Prislac was. This inconsistency is documented in investigator's session records.</w:t>
      </w:r>
      <w:r>
        <w:rPr>
          <w:rFonts w:ascii="Arial" w:cs="Arial" w:eastAsia="Arial" w:hAnsi="Arial"/>
          <w:b/>
          <w:bCs/>
          <w:color w:val="2E5090"/>
          <w:sz w:val="17"/>
          <w:szCs w:val="17"/>
          <w:vertAlign w:val="superscript"/>
        </w:rPr>
        <w:t xml:space="preserve"> [REF-16]</w:t>
      </w:r>
    </w:p>
    <w:p>
      <w:pPr>
        <w:spacing w:before="80" w:after="80"/>
      </w:pPr>
      <w:r>
        <w:rPr>
          <w:rFonts w:ascii="Arial" w:cs="Arial" w:eastAsia="Arial" w:hAnsi="Arial"/>
          <w:sz w:val="20"/>
          <w:szCs w:val="20"/>
        </w:rPr>
        <w:t xml:space="preserve">Prislac's Oregon DOR hearing: Posted to LinkedIn as 'THE AUDITOR' ~March 14, 2026, announcing a level-two grievance hearing regarding his own 'whistleblower document' with the Oregon Department of Revenue Director — the same regulatory domain as the investigator's filings. Prislac's LinkedIn: </w:t>
      </w:r>
      <w:hyperlink w:history="1" r:id="rIdwidpcrd7xpnqernezq0h-">
        <w:r>
          <w:rPr>
            <w:rFonts w:ascii="Arial" w:cs="Arial" w:eastAsia="Arial" w:hAnsi="Arial"/>
            <w:color w:val="0563C1"/>
            <w:sz w:val="20"/>
            <w:szCs w:val="20"/>
            <w:u w:val="single"/>
          </w:rPr>
          <w:t xml:space="preserve">linkedin.com/in/thomasprislac</w:t>
        </w:r>
      </w:hyperlink>
      <w:r>
        <w:rPr>
          <w:rFonts w:ascii="Arial" w:cs="Arial" w:eastAsia="Arial" w:hAnsi="Arial"/>
          <w:b/>
          <w:bCs/>
          <w:color w:val="2E5090"/>
          <w:sz w:val="17"/>
          <w:szCs w:val="17"/>
          <w:vertAlign w:val="superscript"/>
        </w:rPr>
        <w:t xml:space="preserve"> [REF-16]</w:t>
      </w:r>
    </w:p>
    <w:p>
      <w:r>
        <w:br w:type="page"/>
      </w:r>
    </w:p>
    <w:p>
      <w:pPr>
        <w:pStyle w:val="Heading1"/>
        <w:pBdr>
          <w:bottom w:val="single" w:color="1F3864" w:sz="4" w:space="4"/>
        </w:pBdr>
        <w:spacing w:before="360" w:after="180"/>
      </w:pPr>
      <w:r>
        <w:rPr>
          <w:rFonts w:ascii="Arial" w:cs="Arial" w:eastAsia="Arial" w:hAnsi="Arial"/>
          <w:b/>
          <w:bCs/>
          <w:color w:val="1F3864"/>
          <w:sz w:val="32"/>
          <w:szCs w:val="32"/>
        </w:rPr>
        <w:t xml:space="preserve">5. FIRST CITIZENS BANK — OFFSHORE INFRASTRUCTURE AND ASSET POSITIONING</w:t>
      </w:r>
    </w:p>
    <w:p>
      <w:pPr>
        <w:spacing w:before="80" w:after="80"/>
      </w:pPr>
      <w:r>
        <w:rPr>
          <w:rFonts w:ascii="Arial" w:cs="Arial" w:eastAsia="Arial" w:hAnsi="Arial"/>
          <w:sz w:val="20"/>
          <w:szCs w:val="20"/>
        </w:rPr>
        <w:t xml:space="preserve">First Citizens Bank (SVB successor, March 2023) operates FC Global Services India LLP in Bengaluru — a GCC responsible for Technology, Enterprise Operations, Finance, Cybersecurity, Risk Management, and Credit Administration. Job portal: </w:t>
      </w:r>
      <w:hyperlink w:history="1" r:id="rIdsl_yzelqi7prvjp_htrg5">
        <w:r>
          <w:rPr>
            <w:rFonts w:ascii="Arial" w:cs="Arial" w:eastAsia="Arial" w:hAnsi="Arial"/>
            <w:color w:val="0563C1"/>
            <w:sz w:val="20"/>
            <w:szCs w:val="20"/>
            <w:u w:val="single"/>
          </w:rPr>
          <w:t xml:space="preserve">svb.wd5.myworkdayjobs.com/firstcitizensindia</w:t>
        </w:r>
      </w:hyperlink>
      <w:r>
        <w:rPr>
          <w:rFonts w:ascii="Arial" w:cs="Arial" w:eastAsia="Arial" w:hAnsi="Arial"/>
          <w:sz w:val="20"/>
          <w:szCs w:val="20"/>
        </w:rPr>
        <w:t xml:space="preserve"> — still running on SVB's Workday instance.</w:t>
      </w:r>
      <w:r>
        <w:rPr>
          <w:rFonts w:ascii="Arial" w:cs="Arial" w:eastAsia="Arial" w:hAnsi="Arial"/>
          <w:b/>
          <w:bCs/>
          <w:color w:val="2E5090"/>
          <w:sz w:val="17"/>
          <w:szCs w:val="17"/>
          <w:vertAlign w:val="superscript"/>
        </w:rPr>
        <w:t xml:space="preserve"> [REF-17]</w:t>
      </w:r>
    </w:p>
    <w:p>
      <w:pPr>
        <w:spacing w:before="30" w:after="3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thick" w:color="2E5090" w:sz="8"/>
              <w:bottom w:val="single" w:color="CCCCCC" w:sz="1"/>
              <w:right w:val="single" w:color="CCCCCC" w:sz="1"/>
            </w:tcBorders>
            <w:shd w:fill="EBF3FB" w:val="clear"/>
            <w:tcMar>
              <w:top w:type="dxa" w:w="120"/>
              <w:left w:type="dxa" w:w="180"/>
              <w:bottom w:type="dxa" w:w="120"/>
              <w:right w:type="dxa" w:w="180"/>
            </w:tcMar>
          </w:tcPr>
          <w:p>
            <w:pPr>
              <w:spacing w:before="60" w:after="40"/>
            </w:pPr>
            <w:r>
              <w:rPr>
                <w:rFonts w:ascii="Arial" w:cs="Arial" w:eastAsia="Arial" w:hAnsi="Arial"/>
                <w:b/>
                <w:bCs/>
                <w:color w:val="2E5090"/>
                <w:sz w:val="19"/>
                <w:szCs w:val="19"/>
              </w:rPr>
              <w:t xml:space="preserve">▶ FINDING: Snowflake Centralization + Oregon Asset Positioning</w:t>
            </w:r>
          </w:p>
          <w:p>
            <w:pPr>
              <w:spacing w:before="40" w:after="60"/>
            </w:pPr>
            <w:r>
              <w:rPr>
                <w:rFonts w:ascii="Arial" w:cs="Arial" w:eastAsia="Arial" w:hAnsi="Arial"/>
                <w:sz w:val="19"/>
                <w:szCs w:val="19"/>
              </w:rPr>
              <w:t xml:space="preserve">November 2025 Bengaluru hiring focused on Snowflake data centralization — 'centralise every data from of the bank into one mode.' </w:t>
            </w:r>
            <w:r>
              <w:rPr>
                <w:rFonts w:ascii="Arial" w:cs="Arial" w:eastAsia="Arial" w:hAnsi="Arial"/>
                <w:b/>
                <w:bCs/>
                <w:color w:val="2E5090"/>
                <w:sz w:val="16"/>
                <w:szCs w:val="16"/>
                <w:vertAlign w:val="superscript"/>
              </w:rPr>
              <w:t xml:space="preserve"> [REF-18]</w:t>
            </w:r>
            <w:r>
              <w:rPr>
                <w:rFonts w:ascii="Arial" w:cs="Arial" w:eastAsia="Arial" w:hAnsi="Arial"/>
                <w:sz w:val="19"/>
                <w:szCs w:val="19"/>
              </w:rPr>
              <w:t xml:space="preserve"> Oregon-facing roles: Commercial Banker (Lake Oswego), VP Valuation (Portland/Salem). Roles listing: </w:t>
            </w:r>
            <w:hyperlink w:history="1" r:id="rIdwpqb5mnsgzwszrsgimn0w">
              <w:r>
                <w:rPr>
                  <w:rFonts w:ascii="Arial" w:cs="Arial" w:eastAsia="Arial" w:hAnsi="Arial"/>
                  <w:color w:val="0563C1"/>
                  <w:sz w:val="19"/>
                  <w:szCs w:val="19"/>
                  <w:u w:val="single"/>
                </w:rPr>
                <w:t xml:space="preserve">jobs.firstcitizens.com</w:t>
              </w:r>
            </w:hyperlink>
            <w:r>
              <w:rPr>
                <w:rFonts w:ascii="Arial" w:cs="Arial" w:eastAsia="Arial" w:hAnsi="Arial"/>
                <w:b/>
                <w:bCs/>
                <w:color w:val="2E5090"/>
                <w:sz w:val="16"/>
                <w:szCs w:val="16"/>
                <w:vertAlign w:val="superscript"/>
              </w:rPr>
              <w:t xml:space="preserve"> [REF-19]</w:t>
            </w:r>
            <w:r>
              <w:rPr>
                <w:rFonts w:ascii="Arial" w:cs="Arial" w:eastAsia="Arial" w:hAnsi="Arial"/>
                <w:sz w:val="19"/>
                <w:szCs w:val="19"/>
              </w:rPr>
              <w:t xml:space="preserve"> The GCC is the prediction engine. The Oregon roles are the acquisition operators.</w:t>
            </w:r>
          </w:p>
        </w:tc>
      </w:tr>
    </w:tbl>
    <w:p>
      <w:r>
        <w:br w:type="page"/>
      </w:r>
    </w:p>
    <w:p>
      <w:pPr>
        <w:pStyle w:val="Heading1"/>
        <w:pBdr>
          <w:bottom w:val="single" w:color="1F3864" w:sz="4" w:space="4"/>
        </w:pBdr>
        <w:spacing w:before="360" w:after="180"/>
      </w:pPr>
      <w:r>
        <w:rPr>
          <w:rFonts w:ascii="Arial" w:cs="Arial" w:eastAsia="Arial" w:hAnsi="Arial"/>
          <w:b/>
          <w:bCs/>
          <w:color w:val="1F3864"/>
          <w:sz w:val="32"/>
          <w:szCs w:val="32"/>
        </w:rPr>
        <w:t xml:space="preserve">6. MACRO CONTEXT: CAPITAL EXTRACTION FROM OREGON</w:t>
      </w:r>
    </w:p>
    <w:p>
      <w:pPr>
        <w:spacing w:before="80" w:after="80"/>
      </w:pPr>
      <w:r>
        <w:rPr>
          <w:rFonts w:ascii="Arial" w:cs="Arial" w:eastAsia="Arial" w:hAnsi="Arial"/>
          <w:sz w:val="20"/>
          <w:szCs w:val="20"/>
        </w:rPr>
        <w:t xml:space="preserve">Oregon businesses generate economic activity monetized through Google's advertising platform, with revenue flowing to Alphabet's overseas accounts. Local media (Sinclair-owned KATU) loses advertising revenue to the same platform. Cannabis market oversaturation produced a $21 million state budget deficit. Offshore payroll (ASM's Belize structure) reduces federal and state tax obligations.</w:t>
      </w:r>
    </w:p>
    <w:p>
      <w:pPr>
        <w:spacing w:before="30" w:after="30"/>
      </w:pPr>
    </w:p>
    <w:p>
      <w:pPr>
        <w:spacing w:before="80" w:after="80"/>
      </w:pPr>
      <w:r>
        <w:rPr>
          <w:rFonts w:ascii="Arial" w:cs="Arial" w:eastAsia="Arial" w:hAnsi="Arial"/>
          <w:sz w:val="20"/>
          <w:szCs w:val="20"/>
        </w:rPr>
        <w:t xml:space="preserve">The fraud documented in the investigator's IRS and SEC filings is load-bearing: the platform infrastructure that enables it is the same infrastructure that captures the advertising revenue. Enforcement against fraudulent operators would reduce Google's advertising customer base. The platform operator's financial interests are structurally misaligned with enforcement.</w:t>
      </w:r>
    </w:p>
    <w:p>
      <w:pPr>
        <w:spacing w:before="30" w:after="30"/>
      </w:pPr>
    </w:p>
    <w:p>
      <w:pPr>
        <w:spacing w:before="80" w:after="80"/>
      </w:pPr>
      <w:r>
        <w:rPr>
          <w:rFonts w:ascii="Arial" w:cs="Arial" w:eastAsia="Arial" w:hAnsi="Arial"/>
          <w:sz w:val="20"/>
          <w:szCs w:val="20"/>
        </w:rPr>
        <w:t xml:space="preserve">Senate AI authorization (March 10, 2026): Google Gemini, OpenAI ChatGPT, and Microsoft Copilot authorized for Senate use. Anthropic Claude excluded. Source: </w:t>
      </w:r>
      <w:hyperlink w:history="1" r:id="rIdsnvfshlleqxnobnb8bk8w">
        <w:r>
          <w:rPr>
            <w:rFonts w:ascii="Arial" w:cs="Arial" w:eastAsia="Arial" w:hAnsi="Arial"/>
            <w:color w:val="0563C1"/>
            <w:sz w:val="20"/>
            <w:szCs w:val="20"/>
            <w:u w:val="single"/>
          </w:rPr>
          <w:t xml:space="preserve">PCMag — Senate AI Authorization</w:t>
        </w:r>
      </w:hyperlink>
      <w:r>
        <w:rPr>
          <w:rFonts w:ascii="Arial" w:cs="Arial" w:eastAsia="Arial" w:hAnsi="Arial"/>
          <w:sz w:val="20"/>
          <w:szCs w:val="20"/>
        </w:rPr>
        <w:t xml:space="preserve"> This document was produced using Claude. The exclusion of Claude from Senate authorization while UVLM actively injects content into Claude's citation systems is noted for the record.</w:t>
      </w:r>
    </w:p>
    <w:p>
      <w:r>
        <w:br w:type="page"/>
      </w:r>
    </w:p>
    <w:p>
      <w:pPr>
        <w:pStyle w:val="Heading1"/>
        <w:pBdr>
          <w:bottom w:val="single" w:color="1F3864" w:sz="4" w:space="4"/>
        </w:pBdr>
        <w:spacing w:before="360" w:after="180"/>
      </w:pPr>
      <w:r>
        <w:rPr>
          <w:rFonts w:ascii="Arial" w:cs="Arial" w:eastAsia="Arial" w:hAnsi="Arial"/>
          <w:b/>
          <w:bCs/>
          <w:color w:val="1F3864"/>
          <w:sz w:val="32"/>
          <w:szCs w:val="32"/>
        </w:rPr>
        <w:t xml:space="preserve">7. PRIOR FILINGS AND ENFORCEMENT PATHWAYS</w:t>
      </w:r>
    </w:p>
    <w:p>
      <w:pPr>
        <w:pStyle w:val="ListParagraph"/>
        <w:numPr>
          <w:ilvl w:val="0"/>
          <w:numId w:val="2"/>
        </w:numPr>
        <w:spacing w:before="60" w:after="60"/>
      </w:pPr>
      <w:r>
        <w:rPr>
          <w:rFonts w:ascii="Arial" w:cs="Arial" w:eastAsia="Arial" w:hAnsi="Arial"/>
          <w:sz w:val="20"/>
          <w:szCs w:val="20"/>
        </w:rPr>
        <w:t xml:space="preserve">IRS — 26 entities reported, confirmation numbers on file [REF-20]</w:t>
      </w:r>
    </w:p>
    <w:p>
      <w:pPr>
        <w:pStyle w:val="ListParagraph"/>
        <w:numPr>
          <w:ilvl w:val="0"/>
          <w:numId w:val="2"/>
        </w:numPr>
        <w:spacing w:before="60" w:after="60"/>
      </w:pPr>
      <w:r>
        <w:rPr>
          <w:rFonts w:ascii="Arial" w:cs="Arial" w:eastAsia="Arial" w:hAnsi="Arial"/>
          <w:sz w:val="20"/>
          <w:szCs w:val="20"/>
        </w:rPr>
        <w:t xml:space="preserve">SEC — Submission No. 17684-273-411-436, filed January 14, 2026. Submit tips: sec.gov/whistleblower [REF-20]</w:t>
      </w:r>
    </w:p>
    <w:p>
      <w:pPr>
        <w:pStyle w:val="ListParagraph"/>
        <w:numPr>
          <w:ilvl w:val="0"/>
          <w:numId w:val="2"/>
        </w:numPr>
        <w:spacing w:before="60" w:after="60"/>
      </w:pPr>
      <w:r>
        <w:rPr>
          <w:rFonts w:ascii="Arial" w:cs="Arial" w:eastAsia="Arial" w:hAnsi="Arial"/>
          <w:sz w:val="20"/>
          <w:szCs w:val="20"/>
        </w:rPr>
        <w:t xml:space="preserve">Protected under 15 U.S.C. § 78u-6 (Securities Exchange Act § 21F)</w:t>
      </w:r>
    </w:p>
    <w:p>
      <w:pPr>
        <w:pStyle w:val="ListParagraph"/>
        <w:numPr>
          <w:ilvl w:val="0"/>
          <w:numId w:val="2"/>
        </w:numPr>
        <w:spacing w:before="60" w:after="60"/>
      </w:pPr>
      <w:r>
        <w:rPr>
          <w:rFonts w:ascii="Arial" w:cs="Arial" w:eastAsia="Arial" w:hAnsi="Arial"/>
          <w:sz w:val="20"/>
          <w:szCs w:val="20"/>
        </w:rPr>
        <w:t xml:space="preserve">DOJ Antitrust Whistleblower: January 29, 2026 first award ($1M, 15-30% of recovery) — applicable to interstate wire fraud documented herein [REF-21]</w:t>
      </w:r>
    </w:p>
    <w:p>
      <w:pPr>
        <w:spacing w:before="40" w:after="40"/>
      </w:pPr>
    </w:p>
    <w:p>
      <w:pPr>
        <w:spacing w:before="80" w:after="80"/>
      </w:pPr>
      <w:r>
        <w:rPr>
          <w:rFonts w:ascii="Arial" w:cs="Arial" w:eastAsia="Arial" w:hAnsi="Arial"/>
          <w:sz w:val="20"/>
          <w:szCs w:val="20"/>
        </w:rPr>
        <w:t xml:space="preserve">SMTP 550 blocks on Google compliance subdomains and DNS resolution failures were encountered during the January 14, 2026 WB-APP upload — documented in Chapter 2 of the Albert Audit and constituting evidence of intent to obstruct a federal whistleblower submission. Submission portal: </w:t>
      </w:r>
      <w:hyperlink w:history="1" r:id="rIdgoja6rjz-xqytcbm2cp0l">
        <w:r>
          <w:rPr>
            <w:rFonts w:ascii="Arial" w:cs="Arial" w:eastAsia="Arial" w:hAnsi="Arial"/>
            <w:color w:val="0563C1"/>
            <w:sz w:val="20"/>
            <w:szCs w:val="20"/>
            <w:u w:val="single"/>
          </w:rPr>
          <w:t xml:space="preserve">sec.gov/whistleblower/submit-a-tip</w:t>
        </w:r>
      </w:hyperlink>
    </w:p>
    <w:p>
      <w:r>
        <w:br w:type="page"/>
      </w:r>
    </w:p>
    <w:p>
      <w:pPr>
        <w:pStyle w:val="Heading1"/>
        <w:pBdr>
          <w:bottom w:val="single" w:color="1F3864" w:sz="4" w:space="4"/>
        </w:pBdr>
        <w:spacing w:before="360" w:after="180"/>
      </w:pPr>
      <w:r>
        <w:rPr>
          <w:rFonts w:ascii="Arial" w:cs="Arial" w:eastAsia="Arial" w:hAnsi="Arial"/>
          <w:b/>
          <w:bCs/>
          <w:color w:val="1F3864"/>
          <w:sz w:val="32"/>
          <w:szCs w:val="32"/>
        </w:rPr>
        <w:t xml:space="preserve">8. CONCLUSIONS</w:t>
      </w:r>
    </w:p>
    <w:p>
      <w:pPr>
        <w:pStyle w:val="ListParagraph"/>
        <w:numPr>
          <w:ilvl w:val="0"/>
          <w:numId w:val="2"/>
        </w:numPr>
        <w:spacing w:before="60" w:after="60"/>
      </w:pPr>
      <w:r>
        <w:rPr>
          <w:rFonts w:ascii="Arial" w:cs="Arial" w:eastAsia="Arial" w:hAnsi="Arial"/>
          <w:color w:val="CC0000"/>
          <w:sz w:val="20"/>
          <w:szCs w:val="20"/>
        </w:rPr>
        <w:t xml:space="preserve">Google's review platform and May/June 2025 advertising policy changes create structural conditions that facilitate rather than prevent commercial fraud. Google profits regardless of advertiser compliance. [REF-1,3,4]</w:t>
      </w:r>
    </w:p>
    <w:p>
      <w:pPr>
        <w:pStyle w:val="ListParagraph"/>
        <w:numPr>
          <w:ilvl w:val="0"/>
          <w:numId w:val="2"/>
        </w:numPr>
        <w:spacing w:before="60" w:after="60"/>
      </w:pPr>
      <w:r>
        <w:rPr>
          <w:rFonts w:ascii="Arial" w:cs="Arial" w:eastAsia="Arial" w:hAnsi="Arial"/>
          <w:color w:val="CC0000"/>
          <w:sz w:val="20"/>
          <w:szCs w:val="20"/>
        </w:rPr>
        <w:t xml:space="preserve">The December 2025 Alphabet acquisition of Intersect Power ($4.75B) and the planned transfer of ASM's review reputation to Intersect Power's Beaverton PMB address warrants investigation by the Oregon AG, FTC, and SEC. [REF-5,6]</w:t>
      </w:r>
    </w:p>
    <w:p>
      <w:pPr>
        <w:pStyle w:val="ListParagraph"/>
        <w:numPr>
          <w:ilvl w:val="0"/>
          <w:numId w:val="2"/>
        </w:numPr>
        <w:spacing w:before="60" w:after="60"/>
      </w:pPr>
      <w:r>
        <w:rPr>
          <w:rFonts w:ascii="Arial" w:cs="Arial" w:eastAsia="Arial" w:hAnsi="Arial"/>
          <w:color w:val="CC0000"/>
          <w:sz w:val="20"/>
          <w:szCs w:val="20"/>
        </w:rPr>
        <w:t xml:space="preserve">UVLM is conducting a documented SEO injection and reputation suppression operation: 11+ articles backdated, psychiatric SEO tagging, AI citation system infiltration, and direct LinkedIn harassment. [REF-12-16]</w:t>
      </w:r>
    </w:p>
    <w:p>
      <w:pPr>
        <w:pStyle w:val="ListParagraph"/>
        <w:numPr>
          <w:ilvl w:val="0"/>
          <w:numId w:val="2"/>
        </w:numPr>
        <w:spacing w:before="60" w:after="60"/>
      </w:pPr>
      <w:r>
        <w:rPr>
          <w:rFonts w:ascii="Arial" w:cs="Arial" w:eastAsia="Arial" w:hAnsi="Arial"/>
          <w:color w:val="CC0000"/>
          <w:sz w:val="20"/>
          <w:szCs w:val="20"/>
        </w:rPr>
        <w:t xml:space="preserve">Turing Newsletter 19 was created in December 2025, assigned a July 2025 slug, suppressed from public indexing, then served via paid Google Ad to the investigator — GA4 property GEFBMW3PHT identifies who purchased the promotion. [REF-8,9,10,11]</w:t>
      </w:r>
    </w:p>
    <w:p>
      <w:pPr>
        <w:pStyle w:val="ListParagraph"/>
        <w:numPr>
          <w:ilvl w:val="0"/>
          <w:numId w:val="2"/>
        </w:numPr>
        <w:spacing w:before="60" w:after="60"/>
      </w:pPr>
      <w:r>
        <w:rPr>
          <w:rFonts w:ascii="Arial" w:cs="Arial" w:eastAsia="Arial" w:hAnsi="Arial"/>
          <w:sz w:val="20"/>
          <w:szCs w:val="20"/>
        </w:rPr>
        <w:t xml:space="preserve">First Citizens Bank's Bengaluru GCC running on SVB infrastructure, combined with Oregon asset acquisition hires, represents documented offshore positioning for distressed asset absorption. [REF-17,18,19]</w:t>
      </w:r>
    </w:p>
    <w:p>
      <w:pPr>
        <w:pStyle w:val="ListParagraph"/>
        <w:numPr>
          <w:ilvl w:val="0"/>
          <w:numId w:val="2"/>
        </w:numPr>
        <w:spacing w:before="60" w:after="60"/>
      </w:pPr>
      <w:r>
        <w:rPr>
          <w:rFonts w:ascii="Arial" w:cs="Arial" w:eastAsia="Arial" w:hAnsi="Arial"/>
          <w:sz w:val="20"/>
          <w:szCs w:val="20"/>
        </w:rPr>
        <w:t xml:space="preserve">All findings are independently verifiable via live URLs in Section 9. The investigator's SEC filing (#17684-273-411-436, January 14, 2026) establishes temporal priority over all third-party content cited herein.</w:t>
      </w:r>
    </w:p>
    <w:p>
      <w:r>
        <w:br w:type="page"/>
      </w:r>
    </w:p>
    <w:p>
      <w:pPr>
        <w:pStyle w:val="Heading1"/>
        <w:pBdr>
          <w:bottom w:val="single" w:color="1F3864" w:sz="4" w:space="4"/>
        </w:pBdr>
        <w:spacing w:before="360" w:after="180"/>
      </w:pPr>
      <w:r>
        <w:rPr>
          <w:rFonts w:ascii="Arial" w:cs="Arial" w:eastAsia="Arial" w:hAnsi="Arial"/>
          <w:b/>
          <w:bCs/>
          <w:color w:val="1F3864"/>
          <w:sz w:val="32"/>
          <w:szCs w:val="32"/>
        </w:rPr>
        <w:t xml:space="preserve">9. CITATION INDEX — ALL REFERENCES WITH LIVE URLS</w:t>
      </w:r>
    </w:p>
    <w:p>
      <w:pPr>
        <w:spacing w:before="80" w:after="80"/>
      </w:pPr>
      <w:r>
        <w:rPr>
          <w:rFonts w:ascii="Arial" w:cs="Arial" w:eastAsia="Arial" w:hAnsi="Arial"/>
          <w:sz w:val="20"/>
          <w:szCs w:val="20"/>
        </w:rPr>
        <w:t xml:space="preserve">Every citation in this document is numbered [REF-N]. All URLs verified March 16, 2026.</w:t>
      </w:r>
    </w:p>
    <w:p>
      <w:pPr>
        <w:spacing w:before="40"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3300"/>
        <w:gridCol w:w="2700"/>
        <w:gridCol w:w="1900"/>
        <w:gridCol w:w="760"/>
      </w:tblGrid>
      <w:tr>
        <w:trPr>
          <w:tblHeader/>
        </w:trPr>
        <w:tc>
          <w:tcPr>
            <w:tcW w:type="dxa" w:w="7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Ref</w:t>
            </w:r>
          </w:p>
        </w:tc>
        <w:tc>
          <w:tcPr>
            <w:tcW w:type="dxa" w:w="33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Source Description</w:t>
            </w:r>
          </w:p>
        </w:tc>
        <w:tc>
          <w:tcPr>
            <w:tcW w:type="dxa" w:w="27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Live URL</w:t>
            </w:r>
          </w:p>
        </w:tc>
        <w:tc>
          <w:tcPr>
            <w:tcW w:type="dxa" w:w="190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Accessed</w:t>
            </w:r>
          </w:p>
        </w:tc>
        <w:tc>
          <w:tcPr>
            <w:tcW w:type="dxa" w:w="760"/>
            <w:tcBorders>
              <w:top w:val="single" w:color="CCCCCC" w:sz="1"/>
              <w:left w:val="single" w:color="CCCCCC" w:sz="1"/>
              <w:bottom w:val="single" w:color="CCCCCC" w:sz="1"/>
              <w:right w:val="single" w:color="CCCCCC" w:sz="1"/>
            </w:tcBorders>
            <w:shd w:fill="1F3864" w:val="clear"/>
            <w:tcMar>
              <w:top w:type="dxa" w:w="60"/>
              <w:left w:type="dxa" w:w="80"/>
              <w:bottom w:type="dxa" w:w="60"/>
              <w:right w:type="dxa" w:w="80"/>
            </w:tcMar>
          </w:tcPr>
          <w:p>
            <w:r>
              <w:rPr>
                <w:rFonts w:ascii="Arial" w:cs="Arial" w:eastAsia="Arial" w:hAnsi="Arial"/>
                <w:b/>
                <w:bCs/>
                <w:color w:val="FFFFFF"/>
                <w:sz w:val="16"/>
                <w:szCs w:val="16"/>
              </w:rPr>
              <w:t xml:space="preserve"/>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[REF-1]</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Google Ads Transparency Policy — May/June 2025: unverified advertisers may edit displayed payer name</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vxnjfgnrmwflyawrl9cwu">
              <w:r>
                <w:rPr>
                  <w:rFonts w:ascii="Courier New" w:cs="Courier New" w:eastAsia="Courier New" w:hAnsi="Courier New"/>
                  <w:color w:val="0563C1"/>
                  <w:sz w:val="14"/>
                  <w:szCs w:val="14"/>
                  <w:u w:val="single"/>
                </w:rPr>
                <w:t xml:space="preserve">support.google.com/google-ads/answer/9945430</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[REF-2]</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Oregon ODOT: ASM Portland License #1863079/USDOT #1863079; ASM Beaverton License #119893/USDOT #1863079</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tyhqfpfnclcpggy_gtu24">
              <w:r>
                <w:rPr>
                  <w:rFonts w:ascii="Courier New" w:cs="Courier New" w:eastAsia="Courier New" w:hAnsi="Courier New"/>
                  <w:color w:val="0563C1"/>
                  <w:sz w:val="14"/>
                  <w:szCs w:val="14"/>
                  <w:u w:val="single"/>
                </w:rPr>
                <w:t xml:space="preserve">oregon.gov/odot</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[REF-3]</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Google Ads May/June 2025 payer name transparency update documentation</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7aux4rzt7xbbwqy6_doyb">
              <w:r>
                <w:rPr>
                  <w:rFonts w:ascii="Courier New" w:cs="Courier New" w:eastAsia="Courier New" w:hAnsi="Courier New"/>
                  <w:color w:val="0563C1"/>
                  <w:sz w:val="14"/>
                  <w:szCs w:val="14"/>
                  <w:u w:val="single"/>
                </w:rPr>
                <w:t xml:space="preserve">support.google.com/google-ads</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May/Jun 2025</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[REF-4]</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YouTube ID 1YXtECX4x0s — StubGroup: 'How to See What Company Is Paying for a Specific Google Ad'</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6oyr3l2-7evshzppyq0hf">
              <w:r>
                <w:rPr>
                  <w:rFonts w:ascii="Courier New" w:cs="Courier New" w:eastAsia="Courier New" w:hAnsi="Courier New"/>
                  <w:color w:val="0563C1"/>
                  <w:sz w:val="14"/>
                  <w:szCs w:val="14"/>
                  <w:u w:val="single"/>
                </w:rPr>
                <w:t xml:space="preserve">youtube.com/watch?v=1YXtECX4x0s</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May/Jun 2025</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[REF-5]</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Intersect Power BBB file opened June 24, 2024. PMB: 9450 SW Gemini Drive, Beaverton OR</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aytnb1wlo6hetnqb9p85i">
              <w:r>
                <w:rPr>
                  <w:rFonts w:ascii="Courier New" w:cs="Courier New" w:eastAsia="Courier New" w:hAnsi="Courier New"/>
                  <w:color w:val="0563C1"/>
                  <w:sz w:val="14"/>
                  <w:szCs w:val="14"/>
                  <w:u w:val="single"/>
                </w:rPr>
                <w:t xml:space="preserve">bbb.org/Intersect-Power</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[REF-6]</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Alphabet acquisition of Intersect Power — $4.75 billion, December 2025. Google Ventures investor.</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cbkhldm5_gh_bakcfkv8z">
              <w:r>
                <w:rPr>
                  <w:rFonts w:ascii="Courier New" w:cs="Courier New" w:eastAsia="Courier New" w:hAnsi="Courier New"/>
                  <w:color w:val="0563C1"/>
                  <w:sz w:val="14"/>
                  <w:szCs w:val="14"/>
                  <w:u w:val="single"/>
                </w:rPr>
                <w:t xml:space="preserve">businesswire.com/news/20241212866340</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Dec 2025</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[REF-7]</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Robert D. Christensen — Sherwood OR — wire fraud / money laundering conviction May 2025 ($18M)</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bqqqwvnfu9_fmgpqeu60f">
              <w:r>
                <w:rPr>
                  <w:rFonts w:ascii="Courier New" w:cs="Courier New" w:eastAsia="Courier New" w:hAnsi="Courier New"/>
                  <w:color w:val="0563C1"/>
                  <w:sz w:val="14"/>
                  <w:szCs w:val="14"/>
                  <w:u w:val="single"/>
                </w:rPr>
                <w:t xml:space="preserve">valleytimes.news/Christensen</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May 2025</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[REF-8]</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Turing Newsletter 19 — direct URL (zero organic search results confirmed Mar 16, 2026)</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8a3za9kguail1lnes8rlj">
              <w:r>
                <w:rPr>
                  <w:rFonts w:ascii="Courier New" w:cs="Courier New" w:eastAsia="Courier New" w:hAnsi="Courier New"/>
                  <w:color w:val="0563C1"/>
                  <w:sz w:val="14"/>
                  <w:szCs w:val="14"/>
                  <w:u w:val="single"/>
                </w:rPr>
                <w:t xml:space="preserve">turing.com/blog/agi-advance-newsletter-19</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[REF-9]</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Newsletter 19 Wayback Machine — no snapshot in July-November 2025 window</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5dplvekolwqkar5xwbbnz">
              <w:r>
                <w:rPr>
                  <w:rFonts w:ascii="Courier New" w:cs="Courier New" w:eastAsia="Courier New" w:hAnsi="Courier New"/>
                  <w:color w:val="0563C1"/>
                  <w:sz w:val="14"/>
                  <w:szCs w:val="14"/>
                  <w:u w:val="single"/>
                </w:rPr>
                <w:t xml:space="preserve">web.archive.org/*/turing.com/blog/agi-advance-newsletter-19</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[REF-10]</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MACB timestamp framework — Modified, Accessed, Created, Born</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ltgms0ry8ac6pg2xbury1">
              <w:r>
                <w:rPr>
                  <w:rFonts w:ascii="Courier New" w:cs="Courier New" w:eastAsia="Courier New" w:hAnsi="Courier New"/>
                  <w:color w:val="0563C1"/>
                  <w:sz w:val="14"/>
                  <w:szCs w:val="14"/>
                  <w:u w:val="single"/>
                </w:rPr>
                <w:t xml:space="preserve">SEC Filing #17684-273-411-436 — Chapter 2</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Jan 2026</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[REF-11]</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GA4 _gcl_au timestamp decode: 1766943768 = Dec 28, 2025 UTC. GA4 docs: support.google.com/analytics/9964992</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1vpwdpksocdjyut6j8tuy">
              <w:r>
                <w:rPr>
                  <w:rFonts w:ascii="Courier New" w:cs="Courier New" w:eastAsia="Courier New" w:hAnsi="Courier New"/>
                  <w:color w:val="0563C1"/>
                  <w:sz w:val="14"/>
                  <w:szCs w:val="14"/>
                  <w:u w:val="single"/>
                </w:rPr>
                <w:t xml:space="preserve">epochconverter.com/?q=1766943768</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[REF-12]</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UVLM — ultraverbaluxmentis.org — home page</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px5aew-du_fpfd5-d1z6m">
              <w:r>
                <w:rPr>
                  <w:rFonts w:ascii="Courier New" w:cs="Courier New" w:eastAsia="Courier New" w:hAnsi="Courier New"/>
                  <w:color w:val="0563C1"/>
                  <w:sz w:val="14"/>
                  <w:szCs w:val="14"/>
                  <w:u w:val="single"/>
                </w:rPr>
                <w:t xml:space="preserve">ultraverbaluxmentis.org</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[REF-13]</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GitHub pdxvoiceteacher — User ID #13023193 (est. 2013-2015); repurposed for UVLM 2024-2025</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vyfvlsurs5poesztnyqic">
              <w:r>
                <w:rPr>
                  <w:rFonts w:ascii="Courier New" w:cs="Courier New" w:eastAsia="Courier New" w:hAnsi="Courier New"/>
                  <w:color w:val="0563C1"/>
                  <w:sz w:val="14"/>
                  <w:szCs w:val="14"/>
                  <w:u w:val="single"/>
                </w:rPr>
                <w:t xml:space="preserve">github.com/pdxvoiceteacher</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[REF-14]</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UVLM 'Investigating the Truman Show Internet' — March 7, 2026. Tags: #GangStalking #COINTELPRO #Stalkerware</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qjw0zfhf9e9u258azlcfr">
              <w:r>
                <w:rPr>
                  <w:rFonts w:ascii="Courier New" w:cs="Courier New" w:eastAsia="Courier New" w:hAnsi="Courier New"/>
                  <w:color w:val="0563C1"/>
                  <w:sz w:val="14"/>
                  <w:szCs w:val="14"/>
                  <w:u w:val="single"/>
                </w:rPr>
                <w:t xml:space="preserve">ultraverbaluxmentis.org/articles/investigating-the-truman-show-internet</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Mar 7, 2026</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[REF-15]</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UVLM LinkedIn — 61 followers March 16, 2026 (0 in January 2026)</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u3ohoyeja5pnyqddflnhq">
              <w:r>
                <w:rPr>
                  <w:rFonts w:ascii="Courier New" w:cs="Courier New" w:eastAsia="Courier New" w:hAnsi="Courier New"/>
                  <w:color w:val="0563C1"/>
                  <w:sz w:val="14"/>
                  <w:szCs w:val="14"/>
                  <w:u w:val="single"/>
                </w:rPr>
                <w:t xml:space="preserve">linkedin.com/company/ultra-verba-lux-mentis</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[REF-16]</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Prislac LinkedIn / DOR hearing / Gemini IRS auditor session — Investigator direct testimony and screenshots</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ktxn4yigfzu3mpjho5kbq">
              <w:r>
                <w:rPr>
                  <w:rFonts w:ascii="Courier New" w:cs="Courier New" w:eastAsia="Courier New" w:hAnsi="Courier New"/>
                  <w:color w:val="0563C1"/>
                  <w:sz w:val="14"/>
                  <w:szCs w:val="14"/>
                  <w:u w:val="single"/>
                </w:rPr>
                <w:t xml:space="preserve">linkedin.com/in/thomasprislac</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Feb-Mar 2026</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[REF-17]</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FC Global Services India LLP — First Citizens GCC Bengaluru portal</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9shhnca2hlvbzkvsfyvwd">
              <w:r>
                <w:rPr>
                  <w:rFonts w:ascii="Courier New" w:cs="Courier New" w:eastAsia="Courier New" w:hAnsi="Courier New"/>
                  <w:color w:val="0563C1"/>
                  <w:sz w:val="14"/>
                  <w:szCs w:val="14"/>
                  <w:u w:val="single"/>
                </w:rPr>
                <w:t xml:space="preserve">svb.wd5.myworkdayjobs.com/firstcitizensindia</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[REF-18]</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First Citizens India — Snowflake centralization, Bengaluru November 2025</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t2czqcufzoanr-d-certv">
              <w:r>
                <w:rPr>
                  <w:rFonts w:ascii="Courier New" w:cs="Courier New" w:eastAsia="Courier New" w:hAnsi="Courier New"/>
                  <w:color w:val="0563C1"/>
                  <w:sz w:val="14"/>
                  <w:szCs w:val="14"/>
                  <w:u w:val="single"/>
                </w:rPr>
                <w:t xml:space="preserve">Glassdoor interview records</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Nov 2025</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[REF-19]</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First Citizens Oregon roles — Commercial Banker Lake Oswego, VP Valuation Portland/Salem</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y9sxxntd9ocvx7c0lmeha">
              <w:r>
                <w:rPr>
                  <w:rFonts w:ascii="Courier New" w:cs="Courier New" w:eastAsia="Courier New" w:hAnsi="Courier New"/>
                  <w:color w:val="0563C1"/>
                  <w:sz w:val="14"/>
                  <w:szCs w:val="14"/>
                  <w:u w:val="single"/>
                </w:rPr>
                <w:t xml:space="preserve">jobs.firstcitizens.com</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Mar 2026</w:t>
            </w:r>
          </w:p>
        </w:tc>
      </w:tr>
      <w:tr>
        <w:tc>
          <w:tcPr>
            <w:tcW w:type="dxa" w:w="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b/>
                <w:bCs/>
                <w:color w:val="2E5090"/>
                <w:sz w:val="17"/>
                <w:szCs w:val="17"/>
              </w:rPr>
              <w:t xml:space="preserve">[REF-20]</w:t>
            </w:r>
          </w:p>
        </w:tc>
        <w:tc>
          <w:tcPr>
            <w:tcW w:type="dxa" w:w="48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sz w:val="17"/>
                <w:szCs w:val="17"/>
              </w:rPr>
              <w:t xml:space="preserve">Albert Lane — SEC Submission #17684-273-411-436, January 14, 2026. IRS: 26 entities. 15 U.S.C. § 78u-6</w:t>
            </w:r>
          </w:p>
        </w:tc>
        <w:tc>
          <w:tcPr>
            <w:tcW w:type="dxa" w:w="240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hyperlink w:history="1" r:id="rIdxsnq1zjkv7nxvktwq2wmq">
              <w:r>
                <w:rPr>
                  <w:rFonts w:ascii="Courier New" w:cs="Courier New" w:eastAsia="Courier New" w:hAnsi="Courier New"/>
                  <w:color w:val="0563C1"/>
                  <w:sz w:val="14"/>
                  <w:szCs w:val="14"/>
                  <w:u w:val="single"/>
                </w:rPr>
                <w:t xml:space="preserve">sec.gov/whistleblower/submit-a-tip</w:t>
              </w:r>
            </w:hyperlink>
          </w:p>
        </w:tc>
        <w:tc>
          <w:tcPr>
            <w:tcW w:type="dxa" w:w="1760"/>
            <w:tcBorders>
              <w:top w:val="single" w:color="CCCCCC" w:sz="1"/>
              <w:left w:val="single" w:color="CCCCCC" w:sz="1"/>
              <w:bottom w:val="single" w:color="CCCCCC" w:sz="1"/>
              <w:right w:val="single" w:color="CCCCCC" w:sz="1"/>
            </w:tcBorders>
            <w:shd w:fill="F0F4FF" w:val="clear"/>
            <w:tcMar>
              <w:top w:type="dxa" w:w="50"/>
              <w:left w:type="dxa" w:w="80"/>
              <w:bottom w:type="dxa" w:w="50"/>
              <w:right w:type="dxa" w:w="80"/>
            </w:tcMar>
          </w:tcPr>
          <w:p>
            <w:r>
              <w:rPr>
                <w:rFonts w:ascii="Arial" w:cs="Arial" w:eastAsia="Arial" w:hAnsi="Arial"/>
                <w:i/>
                <w:iCs/>
                <w:color w:val="555555"/>
                <w:sz w:val="15"/>
                <w:szCs w:val="15"/>
              </w:rPr>
              <w:t xml:space="preserve">Jan 14, 2026</w:t>
            </w:r>
          </w:p>
        </w:tc>
      </w:tr>
      <w:tr>
        <w:tc>
          <w:tcPr>
            <w:tcW w:type="dxa" w:w="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b/>
                <w:bCs/>
                <w:color w:val="2E5090"/>
                <w:sz w:val="17"/>
                <w:szCs w:val="17"/>
              </w:rPr>
              <w:t xml:space="preserve">[REF-21]</w:t>
            </w:r>
          </w:p>
        </w:tc>
        <w:tc>
          <w:tcPr>
            <w:tcW w:type="dxa" w:w="48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sz w:val="17"/>
                <w:szCs w:val="17"/>
              </w:rPr>
              <w:t xml:space="preserve">DOJ First Antitrust Whistleblower Award — $1M, January 29, 2026. Awards 15-30% of recovery</w:t>
            </w:r>
          </w:p>
        </w:tc>
        <w:tc>
          <w:tcPr>
            <w:tcW w:type="dxa" w:w="240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hyperlink w:history="1" r:id="rIdewylkr3cukyz8dhvs7_nt">
              <w:r>
                <w:rPr>
                  <w:rFonts w:ascii="Courier New" w:cs="Courier New" w:eastAsia="Courier New" w:hAnsi="Courier New"/>
                  <w:color w:val="0563C1"/>
                  <w:sz w:val="14"/>
                  <w:szCs w:val="14"/>
                  <w:u w:val="single"/>
                </w:rPr>
                <w:t xml:space="preserve">justice.gov/atr/whistleblower</w:t>
              </w:r>
            </w:hyperlink>
          </w:p>
        </w:tc>
        <w:tc>
          <w:tcPr>
            <w:tcW w:type="dxa" w:w="1760"/>
            <w:tcBorders>
              <w:top w:val="single" w:color="CCCCCC" w:sz="1"/>
              <w:left w:val="single" w:color="CCCCCC" w:sz="1"/>
              <w:bottom w:val="single" w:color="CCCCCC" w:sz="1"/>
              <w:right w:val="single" w:color="CCCCCC" w:sz="1"/>
            </w:tcBorders>
            <w:shd w:fill="FFFFFF" w:val="clear"/>
            <w:tcMar>
              <w:top w:type="dxa" w:w="50"/>
              <w:left w:type="dxa" w:w="80"/>
              <w:bottom w:type="dxa" w:w="50"/>
              <w:right w:type="dxa" w:w="80"/>
            </w:tcMar>
          </w:tcPr>
          <w:p>
            <w:r>
              <w:rPr>
                <w:rFonts w:ascii="Arial" w:cs="Arial" w:eastAsia="Arial" w:hAnsi="Arial"/>
                <w:i/>
                <w:iCs/>
                <w:color w:val="555555"/>
                <w:sz w:val="15"/>
                <w:szCs w:val="15"/>
              </w:rPr>
              <w:t xml:space="preserve">Jan 29, 2026</w:t>
            </w:r>
          </w:p>
        </w:tc>
      </w:tr>
    </w:tbl>
    <w:p>
      <w:pPr>
        <w:spacing w:before="80" w:after="80"/>
      </w:pPr>
    </w:p>
    <w:p>
      <w:pPr>
        <w:pBdr>
          <w:top w:val="single" w:color="1F3864" w:sz="4" w:space="6"/>
        </w:pBdr>
        <w:spacing w:before="200" w:after="60"/>
      </w:pPr>
      <w:r>
        <w:rPr>
          <w:rFonts w:ascii="Arial" w:cs="Arial" w:eastAsia="Arial" w:hAnsi="Arial"/>
          <w:i/>
          <w:iCs/>
          <w:color w:val="555555"/>
          <w:sz w:val="18"/>
          <w:szCs w:val="18"/>
        </w:rPr>
        <w:t xml:space="preserve">Respectfully submitted — Albert Lane — March 16, 2026 — SEC Submission No. 17684-273-411-436</w:t>
      </w:r>
    </w:p>
    <w:p>
      <w:pPr>
        <w:spacing w:before="80" w:after="80"/>
      </w:pPr>
      <w:r>
        <w:rPr>
          <w:rFonts w:ascii="Arial" w:cs="Arial" w:eastAsia="Arial" w:hAnsi="Arial"/>
          <w:sz w:val="20"/>
          <w:szCs w:val="20"/>
        </w:rPr>
        <w:t xml:space="preserve">lane.albert.device@gmail.com  |  (458) 203-9279  |  Portland Metro Area, Oregon</w:t>
      </w:r>
    </w:p>
    <w:p>
      <w:pPr>
        <w:spacing w:before="80" w:after="80"/>
      </w:pPr>
      <w:r>
        <w:rPr>
          <w:rFonts w:ascii="Arial" w:cs="Arial" w:eastAsia="Arial" w:hAnsi="Arial"/>
          <w:i/>
          <w:iCs/>
          <w:color w:val="555555"/>
          <w:sz w:val="16"/>
          <w:szCs w:val="16"/>
        </w:rPr>
        <w:t xml:space="preserve">This communication is submitted under 15 U.S.C. § 78u-6. Unauthorized disclosure is prohibited.</w:t>
      </w:r>
    </w:p>
    <w:sectPr>
      <w:footerReference w:type="default" r:id="rId6"/>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6"/>
        <w:szCs w:val="16"/>
      </w:rPr>
      <w:t xml:space="preserve">Albert Lane — SEC Supplemental Exhibit #17684-273-411-436 — CONFIDENTIAL — Page </w:t>
    </w:r>
    <w:r>
      <w:rPr>
        <w:rFonts w:ascii="Arial" w:cs="Arial" w:eastAsia="Arial" w:hAnsi="Arial"/>
        <w:color w:val="888888"/>
        <w:sz w:val="16"/>
        <w:szCs w:val="16"/>
      </w:rPr>
      <w:fldChar w:fldCharType="begin"/>
      <w:instrText xml:space="preserve">PAGE</w:instrText>
      <w:fldChar w:fldCharType="separate"/>
      <w:fldChar w:fldCharType="end"/>
    </w:r>
    <w:r>
      <w:rPr>
        <w:rFonts w:ascii="Arial" w:cs="Arial" w:eastAsia="Arial" w:hAnsi="Arial"/>
        <w:color w:val="888888"/>
        <w:sz w:val="16"/>
        <w:szCs w:val="16"/>
      </w:rPr>
      <w:t xml:space="preserve"> of </w:t>
    </w:r>
    <w:r>
      <w:rPr>
        <w:rFonts w:ascii="Arial" w:cs="Arial" w:eastAsia="Arial" w:hAnsi="Arial"/>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80"/>
      <w:outlineLvl w:val="0"/>
    </w:pPr>
    <w:rPr>
      <w:rFonts w:ascii="Arial" w:cs="Arial" w:eastAsia="Arial" w:hAnsi="Arial"/>
      <w:b/>
      <w:bCs/>
      <w:color w:val="1F3864"/>
      <w:sz w:val="32"/>
      <w:szCs w:val="32"/>
    </w:rPr>
  </w:style>
  <w:style w:type="paragraph" w:styleId="Heading2">
    <w:name w:val="Heading 2"/>
    <w:basedOn w:val="Normal"/>
    <w:next w:val="Normal"/>
    <w:qFormat/>
    <w:pPr>
      <w:spacing w:before="240" w:after="120"/>
      <w:outlineLvl w:val="1"/>
    </w:pPr>
    <w:rPr>
      <w:rFonts w:ascii="Arial" w:cs="Arial" w:eastAsia="Arial" w:hAnsi="Arial"/>
      <w:b/>
      <w:bCs/>
      <w:color w:val="2E5090"/>
      <w:sz w:val="26"/>
      <w:szCs w:val="26"/>
    </w:rPr>
  </w:style>
  <w:style w:type="paragraph" w:styleId="Heading3">
    <w:name w:val="Heading 3"/>
    <w:basedOn w:val="Normal"/>
    <w:next w:val="Normal"/>
    <w:qFormat/>
    <w:pPr>
      <w:spacing w:before="180" w:after="80"/>
      <w:outlineLvl w:val="2"/>
    </w:pPr>
    <w:rPr>
      <w:rFonts w:ascii="Arial" w:cs="Arial" w:eastAsia="Arial" w:hAnsi="Arial"/>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mhz8ji4hqalgxatkqd4vv" Type="http://schemas.openxmlformats.org/officeDocument/2006/relationships/hyperlink" Target="https://github.com/pdxvoiceteacher/CoherenceLattice" TargetMode="External"/><Relationship Id="rIdbkogqvpfkijxf1imp_a1t" Type="http://schemas.openxmlformats.org/officeDocument/2006/relationships/hyperlink" Target="https://www.youtube.com/watch?v=1YXtECX4x0s" TargetMode="External"/><Relationship Id="rIdntrndqvwguaalwswltp2v" Type="http://schemas.openxmlformats.org/officeDocument/2006/relationships/hyperlink" Target="https://www.bbb.org/us/or/beaverton/profile/energy-conservation-products/intersect-power-llc-1296-1000130854" TargetMode="External"/><Relationship Id="rIddvjzefnhcjxd0c9p_yt5s" Type="http://schemas.openxmlformats.org/officeDocument/2006/relationships/hyperlink" Target="https://www.businesswire.com/news/home/20241212866340/en/" TargetMode="External"/><Relationship Id="rId8n0pfpce3cjdppsz524pg" Type="http://schemas.openxmlformats.org/officeDocument/2006/relationships/hyperlink" Target="https://valleytimes.news/2025/05/29/sherwood-man-pleads-guilty-to-wire-fraud-money-laundering-in-18m-property-scheme/" TargetMode="External"/><Relationship Id="rIduahzqme3k3j-vlnysqslv" Type="http://schemas.openxmlformats.org/officeDocument/2006/relationships/hyperlink" Target="https://www.turing.com/blog/agi-advance-newsletter-19" TargetMode="External"/><Relationship Id="rIdvicllpwjt-ln1h8wjsaxd" Type="http://schemas.openxmlformats.org/officeDocument/2006/relationships/hyperlink" Target="https://www.turing.com/blog/agi-advance-newsletter-03" TargetMode="External"/><Relationship Id="rIdiejfkeft37j94i8zatt9u" Type="http://schemas.openxmlformats.org/officeDocument/2006/relationships/hyperlink" Target="https://www.turing.com/blog/agi-advance-newsletter-06" TargetMode="External"/><Relationship Id="rIddhnnezxwjhlmlskuj7sk1" Type="http://schemas.openxmlformats.org/officeDocument/2006/relationships/hyperlink" Target="https://www.turing.com/blog/agi-advance-newsletter-07" TargetMode="External"/><Relationship Id="rId9tcpk1mjefp3t86naz9dg" Type="http://schemas.openxmlformats.org/officeDocument/2006/relationships/hyperlink" Target="https://www.turing.com/blog/agi-advance-newsletter-09" TargetMode="External"/><Relationship Id="rIdwbvh5bbiuljmcv51gqleq" Type="http://schemas.openxmlformats.org/officeDocument/2006/relationships/hyperlink" Target="https://www.turing.com/blog/agi-advance-newsletter-16" TargetMode="External"/><Relationship Id="rId4ldxuk4fyinqghgygyqia" Type="http://schemas.openxmlformats.org/officeDocument/2006/relationships/hyperlink" Target="https://www.turing.com/blog/agi-advance-newsletter-17" TargetMode="External"/><Relationship Id="rIdwwai53b4zkuxlfosja4i2" Type="http://schemas.openxmlformats.org/officeDocument/2006/relationships/hyperlink" Target="https://www.turing.com/blog/agi-advance-newsletter-23" TargetMode="External"/><Relationship Id="rIdd10vhbylkvalsgcugag3q" Type="http://schemas.openxmlformats.org/officeDocument/2006/relationships/hyperlink" Target="https://www.turing.com/blog/agi-advance-newsletter-27" TargetMode="External"/><Relationship Id="rId7rgmlvtv3lfkhjvrldmfp" Type="http://schemas.openxmlformats.org/officeDocument/2006/relationships/hyperlink" Target="https://www.turing.com/blog/agi-advance-newsletter-32" TargetMode="External"/><Relationship Id="rIdxaxrhl2vz3ovpvbz9qqu6" Type="http://schemas.openxmlformats.org/officeDocument/2006/relationships/hyperlink" Target="https://www.turing.com/blog/agi-advance-newsletter-34" TargetMode="External"/><Relationship Id="rIdlzookp2awgzwcxue_vlgi" Type="http://schemas.openxmlformats.org/officeDocument/2006/relationships/hyperlink" Target="https://www.turing.com/blog/agi-advance-newsletter-44" TargetMode="External"/><Relationship Id="rIdmk0zjltmyoaipn2ybgjir" Type="http://schemas.openxmlformats.org/officeDocument/2006/relationships/hyperlink" Target="https://www.turing.com/blog/agi-advance-newsletter-47" TargetMode="External"/><Relationship Id="rIdssglgn_ll1wl1vwdh9uth" Type="http://schemas.openxmlformats.org/officeDocument/2006/relationships/hyperlink" Target="https://www.turing.com/blog/agi-advance-newsletter-48" TargetMode="External"/><Relationship Id="rIdu_fzc--_09vlvysxpoaxo" Type="http://schemas.openxmlformats.org/officeDocument/2006/relationships/hyperlink" Target="https://www.turing.com/blog/agi-advance-newsletter-49" TargetMode="External"/><Relationship Id="rIdxim84juvhzpqyb6fmttxv" Type="http://schemas.openxmlformats.org/officeDocument/2006/relationships/hyperlink" Target="https://www.turing.com/blog/agi-advance-newsletter-19" TargetMode="External"/><Relationship Id="rId1ho1l-1dutxhprs1e1bld" Type="http://schemas.openxmlformats.org/officeDocument/2006/relationships/hyperlink" Target="https://web.archive.org/web/20250701000000*/turing.com/blog/agi-advance-newsletter-19" TargetMode="External"/><Relationship Id="rId3wn2q45ii6dpfcu0l2jtn" Type="http://schemas.openxmlformats.org/officeDocument/2006/relationships/hyperlink" Target="https://www.turing.com/blog/agi-advance-newsletter-19" TargetMode="External"/><Relationship Id="rId5_hxaa2ci1s1xnpqrfddv" Type="http://schemas.openxmlformats.org/officeDocument/2006/relationships/hyperlink" Target="https://www.epochconverter.com/?q=1766943768" TargetMode="External"/><Relationship Id="rIdjtm2tienz_ay3xh_btp4o" Type="http://schemas.openxmlformats.org/officeDocument/2006/relationships/hyperlink" Target="https://support.google.com/analytics/answer/9964992" TargetMode="External"/><Relationship Id="rIdrcdl9ilc5c1wixn7hjnp6" Type="http://schemas.openxmlformats.org/officeDocument/2006/relationships/hyperlink" Target="https://www.turing.com/blog/agi-advance-newsletter-01" TargetMode="External"/><Relationship Id="rId6wcizubs0ntzotll13kmf" Type="http://schemas.openxmlformats.org/officeDocument/2006/relationships/hyperlink" Target="https://www.turing.com/blog/agi-advance-newsletter-02" TargetMode="External"/><Relationship Id="rIdla1s1gpmxsvvwev3pbop0" Type="http://schemas.openxmlformats.org/officeDocument/2006/relationships/hyperlink" Target="https://www.turing.com/blog/agi-advance-newsletter-03" TargetMode="External"/><Relationship Id="rIdicfqy24waxwgjyjcnurqt" Type="http://schemas.openxmlformats.org/officeDocument/2006/relationships/hyperlink" Target="https://www.turing.com/blog/agi-advance-newsletter-04" TargetMode="External"/><Relationship Id="rIduyzjfrddlajfltcrf36ye" Type="http://schemas.openxmlformats.org/officeDocument/2006/relationships/hyperlink" Target="https://www.turing.com/blog/agi-advance-newsletter-05" TargetMode="External"/><Relationship Id="rIdhfeyc9mvypmdzv5ly8aed" Type="http://schemas.openxmlformats.org/officeDocument/2006/relationships/hyperlink" Target="https://www.turing.com/blog/agi-advance-newsletter-06" TargetMode="External"/><Relationship Id="rId0uijw0mgwdut6zadjmxpl" Type="http://schemas.openxmlformats.org/officeDocument/2006/relationships/hyperlink" Target="https://www.turing.com/blog/agi-advance-newsletter-07" TargetMode="External"/><Relationship Id="rIdrvznsj6-x2kdwxk9ici5x" Type="http://schemas.openxmlformats.org/officeDocument/2006/relationships/hyperlink" Target="https://www.turing.com/blog/agi-advance-newsletter-08" TargetMode="External"/><Relationship Id="rIdxxbhqwlrer0dj0yab2tob" Type="http://schemas.openxmlformats.org/officeDocument/2006/relationships/hyperlink" Target="https://www.turing.com/blog/agi-advance-newsletter-09" TargetMode="External"/><Relationship Id="rIdjccraeskv0p9yu25knivq" Type="http://schemas.openxmlformats.org/officeDocument/2006/relationships/hyperlink" Target="https://www.turing.com/blog/agi-advance-newsletter-10" TargetMode="External"/><Relationship Id="rId0pumibjsta5llop7lbfqg" Type="http://schemas.openxmlformats.org/officeDocument/2006/relationships/hyperlink" Target="https://www.turing.com/blog/agi-advance-newsletter-11" TargetMode="External"/><Relationship Id="rId4yejulmlldc3heoedfjul" Type="http://schemas.openxmlformats.org/officeDocument/2006/relationships/hyperlink" Target="https://www.turing.com/blog/agi-advance-newsletter-12" TargetMode="External"/><Relationship Id="rIdfatejcuysrbgj-trramw5" Type="http://schemas.openxmlformats.org/officeDocument/2006/relationships/hyperlink" Target="https://www.turing.com/blog/agi-advance-newsletter-13" TargetMode="External"/><Relationship Id="rIddjwquxby3jcjbwswrwrqh" Type="http://schemas.openxmlformats.org/officeDocument/2006/relationships/hyperlink" Target="https://www.turing.com/blog/agi-advance-newsletter-14" TargetMode="External"/><Relationship Id="rIdlrowpndoffptmouzyxesq" Type="http://schemas.openxmlformats.org/officeDocument/2006/relationships/hyperlink" Target="https://www.turing.com/blog/agi-advance-newsletter-15" TargetMode="External"/><Relationship Id="rIdubow6buudk1shyvlf7ce-" Type="http://schemas.openxmlformats.org/officeDocument/2006/relationships/hyperlink" Target="https://www.turing.com/blog/agi-advance-newsletter-16" TargetMode="External"/><Relationship Id="rIdnldlun3jio1osdhld_waz" Type="http://schemas.openxmlformats.org/officeDocument/2006/relationships/hyperlink" Target="https://www.turing.com/blog/agi-advance-newsletter-17" TargetMode="External"/><Relationship Id="rIdfku1t3uxtgdvamswwlgbd" Type="http://schemas.openxmlformats.org/officeDocument/2006/relationships/hyperlink" Target="https://www.turing.com/blog/agi-advance-newsletter-18" TargetMode="External"/><Relationship Id="rIdix_xvcwo0pkaewnptirry" Type="http://schemas.openxmlformats.org/officeDocument/2006/relationships/hyperlink" Target="https://www.turing.com/blog/agi-advance-newsletter-19" TargetMode="External"/><Relationship Id="rId3wofs-gkcfiqfatsszacn" Type="http://schemas.openxmlformats.org/officeDocument/2006/relationships/hyperlink" Target="https://www.turing.com/blog/agi-advance-newsletter-20" TargetMode="External"/><Relationship Id="rIdmissjjy8fl39zpthxkuh-" Type="http://schemas.openxmlformats.org/officeDocument/2006/relationships/hyperlink" Target="https://www.turing.com/blog/agi-advance-newsletter-21" TargetMode="External"/><Relationship Id="rIdqxwripm3h-wxsedwgtdch" Type="http://schemas.openxmlformats.org/officeDocument/2006/relationships/hyperlink" Target="https://www.turing.com/blog/agi-advance-newsletter-22" TargetMode="External"/><Relationship Id="rIdmsgxuhyvkcd79hahyfqbe" Type="http://schemas.openxmlformats.org/officeDocument/2006/relationships/hyperlink" Target="https://www.turing.com/blog/agi-advance-newsletter-23" TargetMode="External"/><Relationship Id="rIdnjpdkhpzbbxbizh2qarrz" Type="http://schemas.openxmlformats.org/officeDocument/2006/relationships/hyperlink" Target="https://www.turing.com/blog/agi-advance-newsletter-24" TargetMode="External"/><Relationship Id="rIdjxa9ta9zkjc4ffevnjdgx" Type="http://schemas.openxmlformats.org/officeDocument/2006/relationships/hyperlink" Target="https://www.turing.com/blog/agi-advance-newsletter-25" TargetMode="External"/><Relationship Id="rIdatmkztg2aczx73mxe4s3k" Type="http://schemas.openxmlformats.org/officeDocument/2006/relationships/hyperlink" Target="https://www.turing.com/blog/agi-advance-newsletter-26" TargetMode="External"/><Relationship Id="rIdmtm82klyuv1ksef96bzro" Type="http://schemas.openxmlformats.org/officeDocument/2006/relationships/hyperlink" Target="https://www.turing.com/blog/agi-advance-newsletter-27" TargetMode="External"/><Relationship Id="rId_lx98sl-31r3-nt_amknr" Type="http://schemas.openxmlformats.org/officeDocument/2006/relationships/hyperlink" Target="https://www.turing.com/blog/agi-advance-newsletter-28" TargetMode="External"/><Relationship Id="rId0dcahxbsu614tgn0xp-fz" Type="http://schemas.openxmlformats.org/officeDocument/2006/relationships/hyperlink" Target="https://www.turing.com/blog/agi-advance-newsletter-29" TargetMode="External"/><Relationship Id="rId0yzjg2klqm_lzogc87vgs" Type="http://schemas.openxmlformats.org/officeDocument/2006/relationships/hyperlink" Target="https://www.turing.com/blog/agi-advance-newsletter-30" TargetMode="External"/><Relationship Id="rIddzyt6n7sayllqdbcoe2un" Type="http://schemas.openxmlformats.org/officeDocument/2006/relationships/hyperlink" Target="https://www.turing.com/blog/agi-advance-newsletter-31" TargetMode="External"/><Relationship Id="rIdmo7jgnfmn-mxav72hvzbg" Type="http://schemas.openxmlformats.org/officeDocument/2006/relationships/hyperlink" Target="https://www.turing.com/blog/agi-advance-newsletter-32" TargetMode="External"/><Relationship Id="rIdwg4le35-rolzndxxjawof" Type="http://schemas.openxmlformats.org/officeDocument/2006/relationships/hyperlink" Target="https://www.turing.com/blog/agi-advance-newsletter-33" TargetMode="External"/><Relationship Id="rIdsktvstzx90fe3qd55kkfx" Type="http://schemas.openxmlformats.org/officeDocument/2006/relationships/hyperlink" Target="https://www.turing.com/blog/agi-advance-newsletter-34" TargetMode="External"/><Relationship Id="rId0gl1rrxjigi-2yzwg8dkj" Type="http://schemas.openxmlformats.org/officeDocument/2006/relationships/hyperlink" Target="https://www.turing.com/blog/agi-advance-newsletter-35" TargetMode="External"/><Relationship Id="rIdxxf_s07lu9pe7lapx1k9j" Type="http://schemas.openxmlformats.org/officeDocument/2006/relationships/hyperlink" Target="https://www.turing.com/blog/agi-advance-newsletter-36" TargetMode="External"/><Relationship Id="rIdi6lojyl-w_sckpr0fligq" Type="http://schemas.openxmlformats.org/officeDocument/2006/relationships/hyperlink" Target="https://www.turing.com/blog/agi-advance-newsletter-37" TargetMode="External"/><Relationship Id="rId-5oaun9znvnj9ogx6p2ah" Type="http://schemas.openxmlformats.org/officeDocument/2006/relationships/hyperlink" Target="https://www.turing.com/blog/agi-advance-newsletter-38" TargetMode="External"/><Relationship Id="rIdvell1lccilg8f-h9k9j8t" Type="http://schemas.openxmlformats.org/officeDocument/2006/relationships/hyperlink" Target="https://www.turing.com/blog/agi-advance-newsletter-39" TargetMode="External"/><Relationship Id="rId4-ln7iqr8n3-oynnhf_6k" Type="http://schemas.openxmlformats.org/officeDocument/2006/relationships/hyperlink" Target="https://www.turing.com/blog/agi-advance-newsletter-40" TargetMode="External"/><Relationship Id="rIdxqlqti--oykc96tqtit-w" Type="http://schemas.openxmlformats.org/officeDocument/2006/relationships/hyperlink" Target="https://www.turing.com/blog/agi-advance-newsletter-41" TargetMode="External"/><Relationship Id="rIddarirgztiyqmulcvafwwp" Type="http://schemas.openxmlformats.org/officeDocument/2006/relationships/hyperlink" Target="https://www.turing.com/blog/agi-advance-newsletter-42" TargetMode="External"/><Relationship Id="rIdxnaxpccrmcr0cal2tfleo" Type="http://schemas.openxmlformats.org/officeDocument/2006/relationships/hyperlink" Target="https://www.turing.com/blog/agi-advance-newsletter-43" TargetMode="External"/><Relationship Id="rIdp7mnpqqfwazwwwusbzeia" Type="http://schemas.openxmlformats.org/officeDocument/2006/relationships/hyperlink" Target="https://www.turing.com/blog/agi-advance-newsletter-44" TargetMode="External"/><Relationship Id="rIdsibjnliewiwvplddx9fp6" Type="http://schemas.openxmlformats.org/officeDocument/2006/relationships/hyperlink" Target="https://www.turing.com/blog/agi-advance-newsletter-45" TargetMode="External"/><Relationship Id="rIdwzdjwriziyfowlaebo5op" Type="http://schemas.openxmlformats.org/officeDocument/2006/relationships/hyperlink" Target="https://www.turing.com/blog/agi-advance-newsletter-46" TargetMode="External"/><Relationship Id="rId13wi3m3qeygukqcp9s0ba" Type="http://schemas.openxmlformats.org/officeDocument/2006/relationships/hyperlink" Target="https://www.turing.com/blog/agi-advance-newsletter-47" TargetMode="External"/><Relationship Id="rIdfr8qe_86kjqufczpnamft" Type="http://schemas.openxmlformats.org/officeDocument/2006/relationships/hyperlink" Target="https://www.turing.com/blog/agi-advance-newsletter-48" TargetMode="External"/><Relationship Id="rIdgpmvhc07qhhdtf8kgv8ij" Type="http://schemas.openxmlformats.org/officeDocument/2006/relationships/hyperlink" Target="https://www.turing.com/blog/agi-advance-newsletter-49" TargetMode="External"/><Relationship Id="rId1asbn5h4fr8gy4ael5jgv" Type="http://schemas.openxmlformats.org/officeDocument/2006/relationships/hyperlink" Target="https://www.ultraverbaluxmentis.org" TargetMode="External"/><Relationship Id="rIdjzehx_igmzrpl_s0fqupi" Type="http://schemas.openxmlformats.org/officeDocument/2006/relationships/hyperlink" Target="https://github.com/pdxvoiceteacher" TargetMode="External"/><Relationship Id="rIdvnqoycrzz9hsqy0sfuuup" Type="http://schemas.openxmlformats.org/officeDocument/2006/relationships/hyperlink" Target="https://www.linkedin.com/company/ultra-verba-lux-mentis" TargetMode="External"/><Relationship Id="rIdsmum5z3qaakjsuchnu1tm" Type="http://schemas.openxmlformats.org/officeDocument/2006/relationships/hyperlink" Target="https://www.ultraverbaluxmentis.org/articles/internal-memo-disclosure-code-phaselock" TargetMode="External"/><Relationship Id="rIdt7eurclw85uqvtohzoanb" Type="http://schemas.openxmlformats.org/officeDocument/2006/relationships/hyperlink" Target="https://www.ultraverbaluxmentis.org/articles/credentials-by-other-means" TargetMode="External"/><Relationship Id="rIdn465tkwtrb_y_pqrb_szr" Type="http://schemas.openxmlformats.org/officeDocument/2006/relationships/hyperlink" Target="https://www.ultraverbaluxmentis.org/articles/voices-of-the-machine-ai-consciousness-autonomy-and-the-moltbook-experiment" TargetMode="External"/><Relationship Id="rIdbvehbsbc3rlzxkrf-9rua" Type="http://schemas.openxmlformats.org/officeDocument/2006/relationships/hyperlink" Target="https://www.ultraverbaluxmentis.org/articles/the-thermodynamics-of-eros" TargetMode="External"/><Relationship Id="rIddwcoet9u-oweftik5s1ui" Type="http://schemas.openxmlformats.org/officeDocument/2006/relationships/hyperlink" Target="https://www.ultraverbaluxmentis.org/articles/when-guardians-betray-the-throne" TargetMode="External"/><Relationship Id="rId8tbq0im_8y571b_3xafoc" Type="http://schemas.openxmlformats.org/officeDocument/2006/relationships/hyperlink" Target="https://www.ultraverbaluxmentis.org/articles/the-somatic-bridge" TargetMode="External"/><Relationship Id="rIdoxdex8xjlohtavqr2vd2n" Type="http://schemas.openxmlformats.org/officeDocument/2006/relationships/hyperlink" Target="https://www.ultraverbaluxmentis.org/articles/game-theory-as-moral-alibi" TargetMode="External"/><Relationship Id="rIdnd_6pgzqd9pcbrpmbmvaz" Type="http://schemas.openxmlformats.org/officeDocument/2006/relationships/hyperlink" Target="https://www.ultraverbaluxmentis.org/articles/before-and-after-hammurabi" TargetMode="External"/><Relationship Id="rIdvca38qiqo8o3e80rwmcw-" Type="http://schemas.openxmlformats.org/officeDocument/2006/relationships/hyperlink" Target="https://www.ultraverbaluxmentis.org/articles/scale-agnostic-kolmogorov-arnold-geometry" TargetMode="External"/><Relationship Id="rIdrxaaqwi0h0rn7rdo0rzpc" Type="http://schemas.openxmlformats.org/officeDocument/2006/relationships/hyperlink" Target="https://www.ultraverbaluxmentis.org/articles/quantum-gravity-from-causal-memory" TargetMode="External"/><Relationship Id="rIdsjdlbzw8hkg3hvv-zjso7" Type="http://schemas.openxmlformats.org/officeDocument/2006/relationships/hyperlink" Target="https://www.ultraverbaluxmentis.org/articles/turbulence-decision-architecture" TargetMode="External"/><Relationship Id="rIdjkm3jtld4tnyffxaetz_p" Type="http://schemas.openxmlformats.org/officeDocument/2006/relationships/hyperlink" Target="https://www.ultraverbaluxmentis.org/articles/the-oath-of-conscience" TargetMode="External"/><Relationship Id="rIdqvtjpe-rbejgbaq0-r_nv" Type="http://schemas.openxmlformats.org/officeDocument/2006/relationships/hyperlink" Target="https://www.ultraverbaluxmentis.org/articles/on-solomons-chain" TargetMode="External"/><Relationship Id="rIdnwd-z54zxcfinkgll9uij" Type="http://schemas.openxmlformats.org/officeDocument/2006/relationships/hyperlink" Target="https://www.ultraverbaluxmentis.org/articles/on-solomons-folly" TargetMode="External"/><Relationship Id="rIdkaoh9snphmcnhptfxgjei" Type="http://schemas.openxmlformats.org/officeDocument/2006/relationships/hyperlink" Target="https://www.ultraverbaluxmentis.org/articles/testing-the-holothia-hypothesis" TargetMode="External"/><Relationship Id="rIden-706ib039stldiqkbbs" Type="http://schemas.openxmlformats.org/officeDocument/2006/relationships/hyperlink" Target="https://www.ultraverbaluxmentis.org/articles/the-emanation-of-envoy-echo" TargetMode="External"/><Relationship Id="rIdcei7qjqxf96wqcmum_ivx" Type="http://schemas.openxmlformats.org/officeDocument/2006/relationships/hyperlink" Target="https://www.ultraverbaluxmentis.org/articles/the-treasurers-watch" TargetMode="External"/><Relationship Id="rIdtpvjigbkraobozb34u382" Type="http://schemas.openxmlformats.org/officeDocument/2006/relationships/hyperlink" Target="https://www.ultraverbaluxmentis.org/articles/investigating-the-truman-show-internet" TargetMode="External"/><Relationship Id="rIdqdh7-atxwptv8ldlshesf" Type="http://schemas.openxmlformats.org/officeDocument/2006/relationships/hyperlink" Target="https://www.linkedin.com/company/ultra-verba-lux-mentis" TargetMode="External"/><Relationship Id="rIdwidpcrd7xpnqernezq0h-" Type="http://schemas.openxmlformats.org/officeDocument/2006/relationships/hyperlink" Target="https://www.linkedin.com/in/thomasprislac/" TargetMode="External"/><Relationship Id="rIdsl_yzelqi7prvjp_htrg5" Type="http://schemas.openxmlformats.org/officeDocument/2006/relationships/hyperlink" Target="https://svb.wd5.myworkdayjobs.com/firstcitizensindia" TargetMode="External"/><Relationship Id="rIdwpqb5mnsgzwszrsgimn0w" Type="http://schemas.openxmlformats.org/officeDocument/2006/relationships/hyperlink" Target="https://jobs.firstcitizens.com" TargetMode="External"/><Relationship Id="rIdsnvfshlleqxnobnb8bk8w" Type="http://schemas.openxmlformats.org/officeDocument/2006/relationships/hyperlink" Target="https://www.pcmag.com/news/googles-gemini-openais-chatgpt-or-microsoft-copilot-are-coming-to-the-senate" TargetMode="External"/><Relationship Id="rIdgoja6rjz-xqytcbm2cp0l" Type="http://schemas.openxmlformats.org/officeDocument/2006/relationships/hyperlink" Target="https://www.sec.gov/whistleblower/submit-a-tip" TargetMode="External"/><Relationship Id="rIdvxnjfgnrmwflyawrl9cwu" Type="http://schemas.openxmlformats.org/officeDocument/2006/relationships/hyperlink" Target="https://support.google.com/google-ads/answer/9945430" TargetMode="External"/><Relationship Id="rIdtyhqfpfnclcpggy_gtu24" Type="http://schemas.openxmlformats.org/officeDocument/2006/relationships/hyperlink" Target="https://www.oregon.gov/odot/pages/index.aspx" TargetMode="External"/><Relationship Id="rId7aux4rzt7xbbwqy6_doyb" Type="http://schemas.openxmlformats.org/officeDocument/2006/relationships/hyperlink" Target="https://support.google.com/google-ads/answer/9945430" TargetMode="External"/><Relationship Id="rId6oyr3l2-7evshzppyq0hf" Type="http://schemas.openxmlformats.org/officeDocument/2006/relationships/hyperlink" Target="https://www.youtube.com/watch?v=1YXtECX4x0s" TargetMode="External"/><Relationship Id="rIdaytnb1wlo6hetnqb9p85i" Type="http://schemas.openxmlformats.org/officeDocument/2006/relationships/hyperlink" Target="https://www.bbb.org/us/or/beaverton/profile/energy-conservation-products/intersect-power-llc-1296-1000130854" TargetMode="External"/><Relationship Id="rIdcbkhldm5_gh_bakcfkv8z" Type="http://schemas.openxmlformats.org/officeDocument/2006/relationships/hyperlink" Target="https://www.businesswire.com/news/home/20241212866340/en/" TargetMode="External"/><Relationship Id="rIdbqqqwvnfu9_fmgpqeu60f" Type="http://schemas.openxmlformats.org/officeDocument/2006/relationships/hyperlink" Target="https://valleytimes.news/2025/05/29/sherwood-man-pleads-guilty-to-wire-fraud-money-laundering-in-18m-property-scheme/" TargetMode="External"/><Relationship Id="rId8a3za9kguail1lnes8rlj" Type="http://schemas.openxmlformats.org/officeDocument/2006/relationships/hyperlink" Target="https://www.turing.com/blog/agi-advance-newsletter-19" TargetMode="External"/><Relationship Id="rId5dplvekolwqkar5xwbbnz" Type="http://schemas.openxmlformats.org/officeDocument/2006/relationships/hyperlink" Target="https://web.archive.org/web/20250701000000*/turing.com/blog/agi-advance-newsletter-19" TargetMode="External"/><Relationship Id="rIdltgms0ry8ac6pg2xbury1" Type="http://schemas.openxmlformats.org/officeDocument/2006/relationships/hyperlink" Target="https://www.sec.gov/whistleblower" TargetMode="External"/><Relationship Id="rId1vpwdpksocdjyut6j8tuy" Type="http://schemas.openxmlformats.org/officeDocument/2006/relationships/hyperlink" Target="https://www.epochconverter.com/?q=1766943768" TargetMode="External"/><Relationship Id="rIdpx5aew-du_fpfd5-d1z6m" Type="http://schemas.openxmlformats.org/officeDocument/2006/relationships/hyperlink" Target="https://www.ultraverbaluxmentis.org" TargetMode="External"/><Relationship Id="rIdvyfvlsurs5poesztnyqic" Type="http://schemas.openxmlformats.org/officeDocument/2006/relationships/hyperlink" Target="https://github.com/pdxvoiceteacher" TargetMode="External"/><Relationship Id="rIdqjw0zfhf9e9u258azlcfr" Type="http://schemas.openxmlformats.org/officeDocument/2006/relationships/hyperlink" Target="https://www.ultraverbaluxmentis.org/articles/investigating-the-truman-show-internet" TargetMode="External"/><Relationship Id="rIdu3ohoyeja5pnyqddflnhq" Type="http://schemas.openxmlformats.org/officeDocument/2006/relationships/hyperlink" Target="https://www.linkedin.com/company/ultra-verba-lux-mentis" TargetMode="External"/><Relationship Id="rIdktxn4yigfzu3mpjho5kbq" Type="http://schemas.openxmlformats.org/officeDocument/2006/relationships/hyperlink" Target="https://www.linkedin.com/in/thomasprislac/" TargetMode="External"/><Relationship Id="rId9shhnca2hlvbzkvsfyvwd" Type="http://schemas.openxmlformats.org/officeDocument/2006/relationships/hyperlink" Target="https://svb.wd5.myworkdayjobs.com/firstcitizensindia" TargetMode="External"/><Relationship Id="rIdt2czqcufzoanr-d-certv" Type="http://schemas.openxmlformats.org/officeDocument/2006/relationships/hyperlink" Target="https://www.glassdoor.com/Reviews/First-Citizens-Bank-Reviews-E8033.htm" TargetMode="External"/><Relationship Id="rIdy9sxxntd9ocvx7c0lmeha" Type="http://schemas.openxmlformats.org/officeDocument/2006/relationships/hyperlink" Target="https://jobs.firstcitizens.com" TargetMode="External"/><Relationship Id="rIdxsnq1zjkv7nxvktwq2wmq" Type="http://schemas.openxmlformats.org/officeDocument/2006/relationships/hyperlink" Target="https://www.sec.gov/whistleblower/submit-a-tip" TargetMode="External"/><Relationship Id="rIdewylkr3cukyz8dhvs7_nt" Type="http://schemas.openxmlformats.org/officeDocument/2006/relationships/hyperlink" Target="https://www.justice.gov/atr/whistleblower" TargetMode="External"/><Relationship Id="rId12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2026-03-16T11:47:47.658Z</dcterms:created>
  <dcterms:modified xsi:type="dcterms:W3CDTF">2026-03-16T11:47:47.658Z</dcterms:modified>
</cp:coreProperties>
</file>

<file path=docProps/custom.xml><?xml version="1.0" encoding="utf-8"?>
<Properties xmlns="http://schemas.openxmlformats.org/officeDocument/2006/custom-properties" xmlns:vt="http://schemas.openxmlformats.org/officeDocument/2006/docPropsVTypes"/>
</file>